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0FEC" w14:textId="1829EED9" w:rsidR="00585165" w:rsidRPr="00333998" w:rsidRDefault="00585165" w:rsidP="00585165">
      <w:pPr>
        <w:tabs>
          <w:tab w:val="left" w:pos="915"/>
          <w:tab w:val="center" w:pos="4535"/>
          <w:tab w:val="left" w:pos="6420"/>
        </w:tabs>
        <w:jc w:val="center"/>
        <w:rPr>
          <w:rFonts w:ascii="Verdana" w:hAnsi="Verdana"/>
          <w:b/>
          <w:bCs/>
          <w:sz w:val="23"/>
          <w:szCs w:val="23"/>
        </w:rPr>
      </w:pPr>
      <w:r w:rsidRPr="00333998">
        <w:rPr>
          <w:rFonts w:ascii="Verdana" w:hAnsi="Verdana"/>
          <w:b/>
          <w:bCs/>
          <w:sz w:val="23"/>
          <w:szCs w:val="23"/>
        </w:rPr>
        <w:t xml:space="preserve">LEI N°. </w:t>
      </w:r>
      <w:r>
        <w:rPr>
          <w:rFonts w:ascii="Verdana" w:hAnsi="Verdana"/>
          <w:b/>
          <w:bCs/>
          <w:sz w:val="23"/>
          <w:szCs w:val="23"/>
        </w:rPr>
        <w:t>886</w:t>
      </w:r>
      <w:r w:rsidRPr="00333998">
        <w:rPr>
          <w:rFonts w:ascii="Verdana" w:hAnsi="Verdana"/>
          <w:b/>
          <w:bCs/>
          <w:sz w:val="23"/>
          <w:szCs w:val="23"/>
        </w:rPr>
        <w:t xml:space="preserve"> DE </w:t>
      </w:r>
      <w:r>
        <w:rPr>
          <w:rFonts w:ascii="Verdana" w:hAnsi="Verdana"/>
          <w:b/>
          <w:bCs/>
          <w:sz w:val="23"/>
          <w:szCs w:val="23"/>
        </w:rPr>
        <w:t>1</w:t>
      </w:r>
      <w:r>
        <w:rPr>
          <w:rFonts w:ascii="Verdana" w:hAnsi="Verdana"/>
          <w:b/>
          <w:bCs/>
          <w:sz w:val="23"/>
          <w:szCs w:val="23"/>
        </w:rPr>
        <w:t>0</w:t>
      </w:r>
      <w:r>
        <w:rPr>
          <w:rFonts w:ascii="Verdana" w:hAnsi="Verdana"/>
          <w:b/>
          <w:bCs/>
          <w:sz w:val="23"/>
          <w:szCs w:val="23"/>
        </w:rPr>
        <w:t xml:space="preserve"> </w:t>
      </w:r>
      <w:r w:rsidRPr="00333998">
        <w:rPr>
          <w:rFonts w:ascii="Verdana" w:hAnsi="Verdana"/>
          <w:b/>
          <w:bCs/>
          <w:sz w:val="23"/>
          <w:szCs w:val="23"/>
        </w:rPr>
        <w:t xml:space="preserve">DE </w:t>
      </w:r>
      <w:r>
        <w:rPr>
          <w:rFonts w:ascii="Verdana" w:hAnsi="Verdana"/>
          <w:b/>
          <w:bCs/>
          <w:sz w:val="23"/>
          <w:szCs w:val="23"/>
        </w:rPr>
        <w:t>JU</w:t>
      </w:r>
      <w:r>
        <w:rPr>
          <w:rFonts w:ascii="Verdana" w:hAnsi="Verdana"/>
          <w:b/>
          <w:bCs/>
          <w:sz w:val="23"/>
          <w:szCs w:val="23"/>
        </w:rPr>
        <w:t>LHO</w:t>
      </w:r>
      <w:r w:rsidRPr="00333998">
        <w:rPr>
          <w:rFonts w:ascii="Verdana" w:hAnsi="Verdana"/>
          <w:b/>
          <w:bCs/>
          <w:sz w:val="23"/>
          <w:szCs w:val="23"/>
        </w:rPr>
        <w:t xml:space="preserve"> DE 2023.</w:t>
      </w:r>
    </w:p>
    <w:p w14:paraId="00C5A961" w14:textId="77777777" w:rsidR="00585165" w:rsidRPr="00333998" w:rsidRDefault="00585165" w:rsidP="00585165">
      <w:pPr>
        <w:tabs>
          <w:tab w:val="left" w:pos="915"/>
          <w:tab w:val="center" w:pos="4535"/>
          <w:tab w:val="left" w:pos="6420"/>
        </w:tabs>
        <w:jc w:val="center"/>
        <w:rPr>
          <w:rFonts w:ascii="Verdana" w:hAnsi="Verdana"/>
          <w:b/>
          <w:bCs/>
          <w:sz w:val="23"/>
          <w:szCs w:val="23"/>
        </w:rPr>
      </w:pPr>
    </w:p>
    <w:p w14:paraId="39FF9D25" w14:textId="77777777" w:rsidR="00585165" w:rsidRPr="00333998" w:rsidRDefault="00585165" w:rsidP="00585165">
      <w:pPr>
        <w:spacing w:before="100" w:beforeAutospacing="1" w:after="100" w:afterAutospacing="1" w:line="276" w:lineRule="auto"/>
        <w:ind w:left="3402"/>
        <w:jc w:val="both"/>
        <w:rPr>
          <w:rFonts w:ascii="Verdana" w:hAnsi="Verdana"/>
          <w:b/>
          <w:bCs/>
          <w:sz w:val="23"/>
          <w:szCs w:val="23"/>
        </w:rPr>
      </w:pPr>
      <w:r w:rsidRPr="00333998">
        <w:rPr>
          <w:rFonts w:ascii="Verdana" w:hAnsi="Verdana"/>
          <w:b/>
          <w:bCs/>
          <w:iCs/>
          <w:noProof/>
          <w:sz w:val="23"/>
          <w:szCs w:val="23"/>
        </w:rPr>
        <w:t xml:space="preserve"> </w:t>
      </w:r>
      <w:bookmarkStart w:id="0" w:name="_Hlk130305589"/>
      <w:r w:rsidRPr="00333998">
        <w:rPr>
          <w:rFonts w:ascii="Verdana" w:hAnsi="Verdana"/>
          <w:b/>
          <w:bCs/>
          <w:sz w:val="23"/>
          <w:szCs w:val="23"/>
        </w:rPr>
        <w:t xml:space="preserve">DISPÕE SOBRE A RATIFICAÇÃO DO MUNICÍPIO </w:t>
      </w:r>
      <w:r w:rsidRPr="00333998">
        <w:rPr>
          <w:rFonts w:ascii="Verdana" w:hAnsi="Verdana"/>
          <w:b/>
          <w:bCs/>
          <w:color w:val="000000" w:themeColor="text1"/>
          <w:sz w:val="23"/>
          <w:szCs w:val="23"/>
        </w:rPr>
        <w:t>CÓRREGO FUNDO</w:t>
      </w:r>
      <w:r>
        <w:rPr>
          <w:rFonts w:ascii="Verdana" w:hAnsi="Verdana"/>
          <w:b/>
          <w:bCs/>
          <w:sz w:val="23"/>
          <w:szCs w:val="23"/>
        </w:rPr>
        <w:t>/MG</w:t>
      </w:r>
      <w:r w:rsidRPr="00333998">
        <w:rPr>
          <w:rFonts w:ascii="Verdana" w:hAnsi="Verdana"/>
          <w:b/>
          <w:bCs/>
          <w:sz w:val="23"/>
          <w:szCs w:val="23"/>
        </w:rPr>
        <w:t xml:space="preserve"> AO CONTRATO DE CONSÓRCIO PÚBLICO DA ASSOCIAÇÃO PÚBLICA DOS MUNICÍPIOS DA MICRORREGIÃO DO MÉDIO RIO GRANDE – AMEG, CONSOLIDADO COM O SEGUNDO TERMO ADITIVO.</w:t>
      </w:r>
    </w:p>
    <w:bookmarkEnd w:id="0"/>
    <w:p w14:paraId="1E3C630B" w14:textId="77777777" w:rsidR="00585165" w:rsidRPr="00333998" w:rsidRDefault="00585165" w:rsidP="00585165">
      <w:pPr>
        <w:rPr>
          <w:rFonts w:ascii="Verdana" w:hAnsi="Verdana"/>
          <w:sz w:val="23"/>
          <w:szCs w:val="23"/>
        </w:rPr>
      </w:pPr>
    </w:p>
    <w:p w14:paraId="0DB070B2" w14:textId="77777777" w:rsidR="00585165" w:rsidRPr="00333998" w:rsidRDefault="00585165" w:rsidP="00585165">
      <w:pPr>
        <w:keepNext/>
        <w:jc w:val="both"/>
        <w:outlineLvl w:val="7"/>
        <w:rPr>
          <w:rFonts w:ascii="Verdana" w:hAnsi="Verdana" w:cs="Arial"/>
          <w:b/>
          <w:sz w:val="23"/>
          <w:szCs w:val="23"/>
        </w:rPr>
      </w:pPr>
      <w:r w:rsidRPr="00333998">
        <w:rPr>
          <w:rFonts w:ascii="Verdana" w:hAnsi="Verdana" w:cs="Arial"/>
          <w:b/>
          <w:sz w:val="23"/>
          <w:szCs w:val="23"/>
        </w:rPr>
        <w:t>DANILO OLIVEIRA CAMPOS, PREFEITO DE CÓRREGO FUNDO/MG FAZ SABER QUE A CÂMARA MUNICIPAL APROVOU E EU, SANCIONO A SEGUINTE LEI:</w:t>
      </w:r>
    </w:p>
    <w:p w14:paraId="44E00C05" w14:textId="77777777" w:rsidR="00585165" w:rsidRPr="00333998" w:rsidRDefault="00585165" w:rsidP="00585165">
      <w:pPr>
        <w:tabs>
          <w:tab w:val="left" w:pos="6420"/>
        </w:tabs>
        <w:jc w:val="center"/>
        <w:rPr>
          <w:rFonts w:ascii="Verdana" w:hAnsi="Verdana"/>
          <w:b/>
          <w:bCs/>
          <w:sz w:val="23"/>
          <w:szCs w:val="23"/>
        </w:rPr>
      </w:pPr>
    </w:p>
    <w:p w14:paraId="6239EDDC" w14:textId="77777777" w:rsidR="00585165" w:rsidRPr="00333998" w:rsidRDefault="00585165" w:rsidP="00585165">
      <w:pPr>
        <w:spacing w:before="100" w:beforeAutospacing="1" w:after="100" w:afterAutospacing="1" w:line="276" w:lineRule="auto"/>
        <w:jc w:val="both"/>
        <w:rPr>
          <w:rFonts w:ascii="Verdana" w:eastAsia="Calibri" w:hAnsi="Verdana"/>
          <w:bCs/>
          <w:sz w:val="23"/>
          <w:szCs w:val="23"/>
        </w:rPr>
      </w:pPr>
      <w:r w:rsidRPr="00333998">
        <w:rPr>
          <w:rFonts w:ascii="Verdana" w:eastAsia="Calibri" w:hAnsi="Verdana"/>
          <w:b/>
          <w:sz w:val="23"/>
          <w:szCs w:val="23"/>
        </w:rPr>
        <w:t xml:space="preserve">Art. 1° </w:t>
      </w:r>
      <w:r w:rsidRPr="00333998">
        <w:rPr>
          <w:rFonts w:ascii="Verdana" w:eastAsia="Calibri" w:hAnsi="Verdana"/>
          <w:bCs/>
          <w:sz w:val="23"/>
          <w:szCs w:val="23"/>
        </w:rPr>
        <w:t>Esta Lei dispõe sobre</w:t>
      </w:r>
      <w:r w:rsidRPr="00333998">
        <w:rPr>
          <w:rFonts w:ascii="Verdana" w:eastAsia="Calibri" w:hAnsi="Verdana"/>
          <w:b/>
          <w:sz w:val="23"/>
          <w:szCs w:val="23"/>
        </w:rPr>
        <w:t xml:space="preserve"> </w:t>
      </w:r>
      <w:r w:rsidRPr="00333998">
        <w:rPr>
          <w:rFonts w:ascii="Verdana" w:eastAsia="Calibri" w:hAnsi="Verdana"/>
          <w:bCs/>
          <w:sz w:val="23"/>
          <w:szCs w:val="23"/>
        </w:rPr>
        <w:t>a ratificação do Contrato de Consórcio Público da Associação Pública dos Municípios da Microrregião do Médio Rio Grande - AMEG</w:t>
      </w:r>
      <w:r w:rsidRPr="00333998">
        <w:rPr>
          <w:rFonts w:ascii="Verdana" w:eastAsia="Calibri" w:hAnsi="Verdana"/>
          <w:b/>
          <w:sz w:val="23"/>
          <w:szCs w:val="23"/>
        </w:rPr>
        <w:t xml:space="preserve">, </w:t>
      </w:r>
      <w:r w:rsidRPr="00333998">
        <w:rPr>
          <w:rFonts w:ascii="Verdana" w:eastAsia="Calibri" w:hAnsi="Verdana"/>
          <w:bCs/>
          <w:sz w:val="23"/>
          <w:szCs w:val="23"/>
        </w:rPr>
        <w:t>consó</w:t>
      </w:r>
      <w:r>
        <w:rPr>
          <w:rFonts w:ascii="Verdana" w:eastAsia="Calibri" w:hAnsi="Verdana"/>
          <w:bCs/>
          <w:sz w:val="23"/>
          <w:szCs w:val="23"/>
        </w:rPr>
        <w:t>r</w:t>
      </w:r>
      <w:r w:rsidRPr="00333998">
        <w:rPr>
          <w:rFonts w:ascii="Verdana" w:eastAsia="Calibri" w:hAnsi="Verdana"/>
          <w:bCs/>
          <w:sz w:val="23"/>
          <w:szCs w:val="23"/>
        </w:rPr>
        <w:t>cio público, constituído por uma associação pública com personalidade jurídica de direito público, de natureza autárquica, integrante da administração indireta de todos os municípios consorciados, sem fins lucrativos e com prazo de duração indeterminado.</w:t>
      </w:r>
    </w:p>
    <w:p w14:paraId="63670D27" w14:textId="77777777" w:rsidR="00585165" w:rsidRPr="00333998" w:rsidRDefault="00585165" w:rsidP="00585165">
      <w:pPr>
        <w:spacing w:before="100" w:beforeAutospacing="1" w:after="100" w:afterAutospacing="1" w:line="276" w:lineRule="auto"/>
        <w:jc w:val="both"/>
        <w:rPr>
          <w:rFonts w:ascii="Verdana" w:eastAsia="Calibri" w:hAnsi="Verdana"/>
          <w:bCs/>
          <w:sz w:val="23"/>
          <w:szCs w:val="23"/>
        </w:rPr>
      </w:pPr>
      <w:r w:rsidRPr="00333998">
        <w:rPr>
          <w:rFonts w:ascii="Verdana" w:eastAsia="Calibri" w:hAnsi="Verdana"/>
          <w:b/>
          <w:sz w:val="23"/>
          <w:szCs w:val="23"/>
        </w:rPr>
        <w:t xml:space="preserve">Parágrafo único. </w:t>
      </w:r>
      <w:r w:rsidRPr="00333998">
        <w:rPr>
          <w:rFonts w:ascii="Verdana" w:eastAsia="Calibri" w:hAnsi="Verdana"/>
          <w:bCs/>
          <w:sz w:val="23"/>
          <w:szCs w:val="23"/>
        </w:rPr>
        <w:t>Os municípios membros subscreveram o Protocolo de Intenções em 23 de agosto de 2019, convertido em Contrato de Consórcio Público em 07 de novembro de 2019, alterado pelo Primeiro Termo Aditivo em 18 de fevereiro de 2021 e alterado pelo</w:t>
      </w:r>
      <w:r w:rsidRPr="00333998">
        <w:rPr>
          <w:rFonts w:ascii="Verdana" w:eastAsia="Calibri" w:hAnsi="Verdana"/>
          <w:sz w:val="23"/>
          <w:szCs w:val="23"/>
        </w:rPr>
        <w:t xml:space="preserve"> Segundo Termo Aditivo em 27 de abril de 2023.</w:t>
      </w:r>
    </w:p>
    <w:p w14:paraId="03707128" w14:textId="77777777" w:rsidR="00585165" w:rsidRPr="00333998" w:rsidRDefault="00585165" w:rsidP="00585165">
      <w:pPr>
        <w:spacing w:before="100" w:beforeAutospacing="1" w:after="100" w:afterAutospacing="1" w:line="276" w:lineRule="auto"/>
        <w:jc w:val="both"/>
        <w:rPr>
          <w:rFonts w:ascii="Verdana" w:eastAsia="Calibri" w:hAnsi="Verdana"/>
          <w:color w:val="FF0000"/>
          <w:sz w:val="23"/>
          <w:szCs w:val="23"/>
        </w:rPr>
      </w:pPr>
      <w:r w:rsidRPr="00333998">
        <w:rPr>
          <w:rFonts w:ascii="Verdana" w:eastAsia="Calibri" w:hAnsi="Verdana"/>
          <w:b/>
          <w:bCs/>
          <w:sz w:val="23"/>
          <w:szCs w:val="23"/>
        </w:rPr>
        <w:t>Art. 2º</w:t>
      </w:r>
      <w:r w:rsidRPr="00333998">
        <w:rPr>
          <w:rFonts w:ascii="Verdana" w:eastAsia="Calibri" w:hAnsi="Verdana"/>
          <w:sz w:val="23"/>
          <w:szCs w:val="23"/>
        </w:rPr>
        <w:t xml:space="preserve"> Fica ratificado o Segundo Termo Aditivo Consolidado ao Contrato de Consórcio Público da AMEG</w:t>
      </w:r>
      <w:r w:rsidRPr="00333998">
        <w:rPr>
          <w:rFonts w:ascii="Verdana" w:eastAsia="Calibri" w:hAnsi="Verdana"/>
          <w:b/>
          <w:sz w:val="23"/>
          <w:szCs w:val="23"/>
        </w:rPr>
        <w:t xml:space="preserve">, </w:t>
      </w:r>
      <w:r w:rsidRPr="00333998">
        <w:rPr>
          <w:rFonts w:ascii="Verdana" w:eastAsia="Calibri" w:hAnsi="Verdana"/>
          <w:bCs/>
          <w:sz w:val="23"/>
          <w:szCs w:val="23"/>
        </w:rPr>
        <w:t>cuja cópia é parte integrante desta Lei</w:t>
      </w:r>
      <w:r w:rsidRPr="00333998">
        <w:rPr>
          <w:rFonts w:ascii="Verdana" w:eastAsia="Calibri" w:hAnsi="Verdana"/>
          <w:sz w:val="23"/>
          <w:szCs w:val="23"/>
        </w:rPr>
        <w:t>.</w:t>
      </w:r>
    </w:p>
    <w:p w14:paraId="0BB1B2CC" w14:textId="77777777" w:rsidR="00585165" w:rsidRPr="00333998" w:rsidRDefault="00585165" w:rsidP="00585165">
      <w:pPr>
        <w:spacing w:before="100" w:beforeAutospacing="1" w:after="100" w:afterAutospacing="1" w:line="276" w:lineRule="auto"/>
        <w:jc w:val="both"/>
        <w:rPr>
          <w:rFonts w:ascii="Verdana" w:eastAsia="Calibri" w:hAnsi="Verdana"/>
          <w:b/>
          <w:bCs/>
          <w:sz w:val="23"/>
          <w:szCs w:val="23"/>
        </w:rPr>
      </w:pPr>
      <w:r w:rsidRPr="00333998">
        <w:rPr>
          <w:rFonts w:ascii="Verdana" w:eastAsia="Calibri" w:hAnsi="Verdana"/>
          <w:b/>
          <w:bCs/>
          <w:sz w:val="23"/>
          <w:szCs w:val="23"/>
        </w:rPr>
        <w:t xml:space="preserve">Parágrafo único. </w:t>
      </w:r>
      <w:r w:rsidRPr="00333998">
        <w:rPr>
          <w:rFonts w:ascii="Verdana" w:eastAsia="Calibri" w:hAnsi="Verdana"/>
          <w:sz w:val="23"/>
          <w:szCs w:val="23"/>
        </w:rPr>
        <w:t>A cópia do Contrato de Consórcio segue autenticada pelo Secretário Executivo, Procuradoria e Controladoria da AMEG.</w:t>
      </w:r>
    </w:p>
    <w:p w14:paraId="3B24F67B" w14:textId="77777777" w:rsidR="00585165" w:rsidRPr="00333998" w:rsidRDefault="00585165" w:rsidP="00585165">
      <w:pPr>
        <w:spacing w:before="100" w:beforeAutospacing="1" w:after="100" w:afterAutospacing="1" w:line="276" w:lineRule="auto"/>
        <w:jc w:val="both"/>
        <w:rPr>
          <w:rFonts w:ascii="Verdana" w:eastAsia="Calibri" w:hAnsi="Verdana"/>
          <w:sz w:val="23"/>
          <w:szCs w:val="23"/>
        </w:rPr>
      </w:pPr>
      <w:r w:rsidRPr="00333998">
        <w:rPr>
          <w:rFonts w:ascii="Verdana" w:eastAsia="Calibri" w:hAnsi="Verdana"/>
          <w:b/>
          <w:sz w:val="23"/>
          <w:szCs w:val="23"/>
        </w:rPr>
        <w:t xml:space="preserve">Art. 3° </w:t>
      </w:r>
      <w:r w:rsidRPr="00333998">
        <w:rPr>
          <w:rFonts w:ascii="Verdana" w:eastAsia="Calibri" w:hAnsi="Verdana"/>
          <w:sz w:val="23"/>
          <w:szCs w:val="23"/>
        </w:rPr>
        <w:t>A ratificação da adesão do município, implica a integração do mesmo como ente consorciado, assim como, seu comprometimento com as obrigações e direitos contidos no Contrato de Consórcio Público, em anexo, no Estatuto, nas Resoluções e demais atos normativos da AMEG e da Lei 11.107/2005 e suas regulamentações.</w:t>
      </w:r>
    </w:p>
    <w:p w14:paraId="14109345" w14:textId="77777777" w:rsidR="00585165" w:rsidRPr="00333998" w:rsidRDefault="00585165" w:rsidP="00585165">
      <w:pPr>
        <w:spacing w:before="100" w:beforeAutospacing="1" w:after="100" w:afterAutospacing="1" w:line="276" w:lineRule="auto"/>
        <w:jc w:val="both"/>
        <w:rPr>
          <w:rFonts w:ascii="Verdana" w:eastAsia="Calibri" w:hAnsi="Verdana"/>
          <w:color w:val="000000" w:themeColor="text1"/>
          <w:sz w:val="23"/>
          <w:szCs w:val="23"/>
        </w:rPr>
      </w:pPr>
      <w:r w:rsidRPr="00333998">
        <w:rPr>
          <w:rFonts w:ascii="Verdana" w:eastAsia="Calibri" w:hAnsi="Verdana"/>
          <w:b/>
          <w:bCs/>
          <w:sz w:val="23"/>
          <w:szCs w:val="23"/>
        </w:rPr>
        <w:lastRenderedPageBreak/>
        <w:t xml:space="preserve">Parágrafo único. </w:t>
      </w:r>
      <w:r w:rsidRPr="00333998">
        <w:rPr>
          <w:rFonts w:ascii="Verdana" w:eastAsia="Calibri" w:hAnsi="Verdana"/>
          <w:sz w:val="23"/>
          <w:szCs w:val="23"/>
        </w:rPr>
        <w:t xml:space="preserve">Os atos administrativos da AMEG estão publicados no Diário Oficial dos Municípios Mineiros, </w:t>
      </w:r>
      <w:hyperlink r:id="rId4" w:history="1">
        <w:r w:rsidRPr="00333998">
          <w:rPr>
            <w:rStyle w:val="Hyperlink"/>
            <w:rFonts w:ascii="Verdana" w:eastAsia="Calibri" w:hAnsi="Verdana"/>
            <w:color w:val="000000" w:themeColor="text1"/>
            <w:sz w:val="23"/>
            <w:szCs w:val="23"/>
          </w:rPr>
          <w:t>www.diariomunicipal.com.br</w:t>
        </w:r>
      </w:hyperlink>
      <w:r w:rsidRPr="00333998">
        <w:rPr>
          <w:rFonts w:ascii="Verdana" w:eastAsia="Calibri" w:hAnsi="Verdana"/>
          <w:color w:val="000000" w:themeColor="text1"/>
          <w:sz w:val="23"/>
          <w:szCs w:val="23"/>
        </w:rPr>
        <w:t xml:space="preserve">, e no sítio eletrônico oficial da AMEG, </w:t>
      </w:r>
      <w:hyperlink r:id="rId5" w:history="1">
        <w:r w:rsidRPr="00333998">
          <w:rPr>
            <w:rStyle w:val="Hyperlink"/>
            <w:rFonts w:ascii="Verdana" w:eastAsia="Calibri" w:hAnsi="Verdana"/>
            <w:color w:val="000000" w:themeColor="text1"/>
            <w:sz w:val="23"/>
            <w:szCs w:val="23"/>
          </w:rPr>
          <w:t>www.ameg.mg.gov.br</w:t>
        </w:r>
      </w:hyperlink>
      <w:r w:rsidRPr="00333998">
        <w:rPr>
          <w:rFonts w:ascii="Verdana" w:eastAsia="Calibri" w:hAnsi="Verdana"/>
          <w:color w:val="000000" w:themeColor="text1"/>
          <w:sz w:val="23"/>
          <w:szCs w:val="23"/>
        </w:rPr>
        <w:t xml:space="preserve">. </w:t>
      </w:r>
    </w:p>
    <w:p w14:paraId="5AEE7596" w14:textId="77777777" w:rsidR="00585165" w:rsidRPr="00333998" w:rsidRDefault="00585165" w:rsidP="00585165">
      <w:pPr>
        <w:spacing w:before="100" w:beforeAutospacing="1" w:after="100" w:afterAutospacing="1" w:line="276" w:lineRule="auto"/>
        <w:jc w:val="both"/>
        <w:rPr>
          <w:rFonts w:ascii="Verdana" w:hAnsi="Verdana"/>
          <w:sz w:val="23"/>
          <w:szCs w:val="23"/>
        </w:rPr>
      </w:pPr>
      <w:r w:rsidRPr="00333998">
        <w:rPr>
          <w:rFonts w:ascii="Verdana" w:hAnsi="Verdana"/>
          <w:b/>
          <w:bCs/>
          <w:sz w:val="23"/>
          <w:szCs w:val="23"/>
        </w:rPr>
        <w:t xml:space="preserve">Art. 4º </w:t>
      </w:r>
      <w:r w:rsidRPr="00333998">
        <w:rPr>
          <w:rFonts w:ascii="Verdana" w:hAnsi="Verdana"/>
          <w:sz w:val="23"/>
          <w:szCs w:val="23"/>
        </w:rPr>
        <w:t>Fica o Poder Executivo autorizado a abrir crédito especial, na Lei do Orçamento do Município, do corrente exercício, na importância de R$ 13.864,34 (treze mil</w:t>
      </w:r>
      <w:r>
        <w:rPr>
          <w:rFonts w:ascii="Verdana" w:hAnsi="Verdana"/>
          <w:sz w:val="23"/>
          <w:szCs w:val="23"/>
        </w:rPr>
        <w:t>,</w:t>
      </w:r>
      <w:r w:rsidRPr="00333998">
        <w:rPr>
          <w:rFonts w:ascii="Verdana" w:hAnsi="Verdana"/>
          <w:sz w:val="23"/>
          <w:szCs w:val="23"/>
        </w:rPr>
        <w:t xml:space="preserve"> oitocentos e sessenta e quatro reais e trinta e quatro centavos), destinados ao custeio do repasse do Contrato de Rateio à Associação dos Municípios da Microrregião do Médio Rio Grande - AMEG da seguinte dotação orçamentária:</w:t>
      </w:r>
    </w:p>
    <w:p w14:paraId="0921EC30" w14:textId="77777777" w:rsidR="00585165" w:rsidRPr="00AC5A8B" w:rsidRDefault="00585165" w:rsidP="00585165">
      <w:pPr>
        <w:spacing w:line="276" w:lineRule="auto"/>
        <w:ind w:firstLine="708"/>
        <w:jc w:val="both"/>
        <w:rPr>
          <w:rFonts w:ascii="Arial" w:hAnsi="Arial" w:cs="Arial"/>
          <w:bCs/>
          <w:i/>
          <w:sz w:val="22"/>
          <w:szCs w:val="22"/>
        </w:rPr>
      </w:pPr>
      <w:r w:rsidRPr="00AC5A8B">
        <w:rPr>
          <w:rFonts w:ascii="Arial" w:hAnsi="Arial" w:cs="Arial"/>
          <w:bCs/>
          <w:i/>
          <w:sz w:val="22"/>
          <w:szCs w:val="22"/>
        </w:rPr>
        <w:t xml:space="preserve">Órgão:     </w:t>
      </w:r>
      <w:r w:rsidRPr="00AC5A8B">
        <w:rPr>
          <w:rFonts w:ascii="Arial" w:hAnsi="Arial" w:cs="Arial"/>
          <w:b/>
          <w:bCs/>
          <w:i/>
          <w:sz w:val="22"/>
          <w:szCs w:val="22"/>
        </w:rPr>
        <w:t>02 – Executivo Municipal</w:t>
      </w:r>
      <w:r w:rsidRPr="00AC5A8B">
        <w:rPr>
          <w:rFonts w:ascii="Arial" w:hAnsi="Arial" w:cs="Arial"/>
          <w:bCs/>
          <w:i/>
          <w:sz w:val="22"/>
          <w:szCs w:val="22"/>
        </w:rPr>
        <w:tab/>
      </w:r>
    </w:p>
    <w:p w14:paraId="756EA81A" w14:textId="77777777" w:rsidR="00585165" w:rsidRPr="00AC5A8B" w:rsidRDefault="00585165" w:rsidP="00585165">
      <w:pPr>
        <w:spacing w:line="276" w:lineRule="auto"/>
        <w:ind w:firstLine="708"/>
        <w:jc w:val="both"/>
        <w:rPr>
          <w:rFonts w:ascii="Arial" w:hAnsi="Arial" w:cs="Arial"/>
          <w:bCs/>
          <w:i/>
          <w:sz w:val="22"/>
          <w:szCs w:val="22"/>
        </w:rPr>
      </w:pPr>
      <w:r w:rsidRPr="00AC5A8B">
        <w:rPr>
          <w:rFonts w:ascii="Arial" w:hAnsi="Arial" w:cs="Arial"/>
          <w:bCs/>
          <w:i/>
          <w:sz w:val="22"/>
          <w:szCs w:val="22"/>
        </w:rPr>
        <w:t xml:space="preserve">Unidade: </w:t>
      </w:r>
      <w:r w:rsidRPr="00AC5A8B">
        <w:rPr>
          <w:rFonts w:ascii="Arial" w:hAnsi="Arial" w:cs="Arial"/>
          <w:b/>
          <w:bCs/>
          <w:i/>
          <w:sz w:val="22"/>
          <w:szCs w:val="22"/>
        </w:rPr>
        <w:t>02.05.01 -Secretaria de Munic. De Obras M. Ambiente Desenvolvimento</w:t>
      </w:r>
    </w:p>
    <w:p w14:paraId="3133F644" w14:textId="77777777" w:rsidR="00585165" w:rsidRPr="00E55837" w:rsidRDefault="00585165" w:rsidP="00585165">
      <w:pPr>
        <w:spacing w:line="276" w:lineRule="auto"/>
        <w:ind w:firstLine="708"/>
        <w:jc w:val="both"/>
        <w:rPr>
          <w:rFonts w:ascii="Arial" w:hAnsi="Arial" w:cs="Arial"/>
          <w:b/>
          <w:bCs/>
          <w:i/>
          <w:sz w:val="22"/>
          <w:szCs w:val="22"/>
        </w:rPr>
      </w:pPr>
      <w:r w:rsidRPr="00AC5A8B">
        <w:rPr>
          <w:rFonts w:ascii="Arial" w:hAnsi="Arial" w:cs="Arial"/>
          <w:bCs/>
          <w:i/>
          <w:sz w:val="22"/>
          <w:szCs w:val="22"/>
        </w:rPr>
        <w:t xml:space="preserve">Classificação programática:  </w:t>
      </w:r>
      <w:r w:rsidRPr="00E55837">
        <w:rPr>
          <w:rFonts w:ascii="Arial" w:hAnsi="Arial" w:cs="Arial"/>
          <w:b/>
          <w:bCs/>
          <w:i/>
          <w:sz w:val="22"/>
          <w:szCs w:val="22"/>
        </w:rPr>
        <w:t>04.122.0402.220</w:t>
      </w:r>
      <w:r w:rsidRPr="00E55837">
        <w:rPr>
          <w:rFonts w:ascii="Arial" w:hAnsi="Arial" w:cs="Arial"/>
          <w:b/>
          <w:bCs/>
          <w:i/>
          <w:sz w:val="22"/>
          <w:szCs w:val="22"/>
        </w:rPr>
        <w:tab/>
        <w:t xml:space="preserve">Manutenção de Contratos de </w:t>
      </w:r>
      <w:r w:rsidRPr="00E55837">
        <w:rPr>
          <w:rFonts w:ascii="Arial" w:hAnsi="Arial" w:cs="Arial"/>
          <w:b/>
          <w:bCs/>
          <w:i/>
          <w:sz w:val="22"/>
          <w:szCs w:val="22"/>
        </w:rPr>
        <w:tab/>
        <w:t>Rateio De Consórcios</w:t>
      </w:r>
    </w:p>
    <w:p w14:paraId="317B5C41" w14:textId="77777777" w:rsidR="00585165" w:rsidRPr="00AC5A8B" w:rsidRDefault="00585165" w:rsidP="00585165">
      <w:pPr>
        <w:spacing w:line="276" w:lineRule="auto"/>
        <w:ind w:firstLine="708"/>
        <w:jc w:val="both"/>
        <w:rPr>
          <w:rFonts w:ascii="Arial" w:hAnsi="Arial" w:cs="Arial"/>
          <w:bCs/>
          <w:i/>
          <w:sz w:val="22"/>
          <w:szCs w:val="22"/>
        </w:rPr>
      </w:pPr>
      <w:r w:rsidRPr="00AC5A8B">
        <w:rPr>
          <w:rFonts w:ascii="Arial" w:hAnsi="Arial" w:cs="Arial"/>
          <w:bCs/>
          <w:i/>
          <w:sz w:val="22"/>
          <w:szCs w:val="22"/>
        </w:rPr>
        <w:t>Natureza da despesa:</w:t>
      </w:r>
    </w:p>
    <w:p w14:paraId="648F0360" w14:textId="77777777" w:rsidR="00585165" w:rsidRPr="00E55837" w:rsidRDefault="00585165" w:rsidP="00585165">
      <w:pPr>
        <w:spacing w:line="276" w:lineRule="auto"/>
        <w:ind w:firstLine="708"/>
        <w:jc w:val="both"/>
        <w:rPr>
          <w:rFonts w:ascii="Arial" w:hAnsi="Arial" w:cs="Arial"/>
          <w:b/>
          <w:bCs/>
          <w:i/>
          <w:sz w:val="22"/>
          <w:szCs w:val="22"/>
        </w:rPr>
      </w:pPr>
      <w:r w:rsidRPr="00E55837">
        <w:rPr>
          <w:rFonts w:ascii="Arial" w:hAnsi="Arial" w:cs="Arial"/>
          <w:b/>
          <w:bCs/>
          <w:i/>
          <w:sz w:val="22"/>
          <w:szCs w:val="22"/>
        </w:rPr>
        <w:t xml:space="preserve">31.71.70 – Pessoal e encargos - rateio pela participação </w:t>
      </w:r>
      <w:r w:rsidRPr="00E55837">
        <w:rPr>
          <w:rFonts w:ascii="Arial" w:hAnsi="Arial" w:cs="Arial"/>
          <w:b/>
          <w:bCs/>
          <w:i/>
          <w:sz w:val="22"/>
          <w:szCs w:val="22"/>
        </w:rPr>
        <w:tab/>
        <w:t xml:space="preserve">em consórcio </w:t>
      </w:r>
      <w:r w:rsidRPr="00E55837">
        <w:rPr>
          <w:rFonts w:ascii="Arial" w:hAnsi="Arial" w:cs="Arial"/>
          <w:b/>
          <w:bCs/>
          <w:i/>
          <w:sz w:val="22"/>
          <w:szCs w:val="22"/>
        </w:rPr>
        <w:tab/>
      </w:r>
      <w:r w:rsidRPr="00E55837">
        <w:rPr>
          <w:rFonts w:ascii="Arial" w:hAnsi="Arial" w:cs="Arial"/>
          <w:b/>
          <w:bCs/>
          <w:i/>
          <w:sz w:val="22"/>
          <w:szCs w:val="22"/>
        </w:rPr>
        <w:tab/>
        <w:t>Público</w:t>
      </w:r>
    </w:p>
    <w:p w14:paraId="5D816AF1" w14:textId="77777777" w:rsidR="00585165" w:rsidRPr="00E55837" w:rsidRDefault="00585165" w:rsidP="00585165">
      <w:pPr>
        <w:spacing w:line="276" w:lineRule="auto"/>
        <w:ind w:firstLine="708"/>
        <w:jc w:val="both"/>
        <w:rPr>
          <w:rFonts w:ascii="Arial" w:hAnsi="Arial" w:cs="Arial"/>
          <w:b/>
          <w:bCs/>
          <w:i/>
          <w:sz w:val="22"/>
          <w:szCs w:val="22"/>
        </w:rPr>
      </w:pPr>
      <w:r w:rsidRPr="00E55837">
        <w:rPr>
          <w:rFonts w:ascii="Arial" w:hAnsi="Arial" w:cs="Arial"/>
          <w:b/>
          <w:bCs/>
          <w:i/>
          <w:sz w:val="22"/>
          <w:szCs w:val="22"/>
        </w:rPr>
        <w:t xml:space="preserve">33.71.70 – Outras despesas correntes - Rateio pela Participação em </w:t>
      </w:r>
      <w:r w:rsidRPr="00E55837">
        <w:rPr>
          <w:rFonts w:ascii="Arial" w:hAnsi="Arial" w:cs="Arial"/>
          <w:b/>
          <w:bCs/>
          <w:i/>
          <w:sz w:val="22"/>
          <w:szCs w:val="22"/>
        </w:rPr>
        <w:tab/>
      </w:r>
      <w:r w:rsidRPr="00E55837">
        <w:rPr>
          <w:rFonts w:ascii="Arial" w:hAnsi="Arial" w:cs="Arial"/>
          <w:b/>
          <w:bCs/>
          <w:i/>
          <w:sz w:val="22"/>
          <w:szCs w:val="22"/>
        </w:rPr>
        <w:tab/>
      </w:r>
      <w:r w:rsidRPr="00E55837">
        <w:rPr>
          <w:rFonts w:ascii="Arial" w:hAnsi="Arial" w:cs="Arial"/>
          <w:b/>
          <w:bCs/>
          <w:i/>
          <w:sz w:val="22"/>
          <w:szCs w:val="22"/>
        </w:rPr>
        <w:tab/>
        <w:t>Consórcio Público</w:t>
      </w:r>
    </w:p>
    <w:p w14:paraId="48F07D10" w14:textId="77777777" w:rsidR="00585165" w:rsidRPr="00E55837" w:rsidRDefault="00585165" w:rsidP="00585165">
      <w:pPr>
        <w:spacing w:line="276" w:lineRule="auto"/>
        <w:ind w:firstLine="708"/>
        <w:jc w:val="both"/>
        <w:rPr>
          <w:rFonts w:ascii="Arial" w:hAnsi="Arial" w:cs="Arial"/>
          <w:b/>
          <w:bCs/>
          <w:i/>
          <w:sz w:val="22"/>
          <w:szCs w:val="22"/>
        </w:rPr>
      </w:pPr>
      <w:r w:rsidRPr="00E55837">
        <w:rPr>
          <w:rFonts w:ascii="Arial" w:hAnsi="Arial" w:cs="Arial"/>
          <w:b/>
          <w:bCs/>
          <w:i/>
          <w:sz w:val="22"/>
          <w:szCs w:val="22"/>
        </w:rPr>
        <w:t xml:space="preserve">44.71.70 – Investimentos - Rateio pela Participação em Consórcio </w:t>
      </w:r>
      <w:r w:rsidRPr="00E55837">
        <w:rPr>
          <w:rFonts w:ascii="Arial" w:hAnsi="Arial" w:cs="Arial"/>
          <w:b/>
          <w:bCs/>
          <w:i/>
          <w:sz w:val="22"/>
          <w:szCs w:val="22"/>
        </w:rPr>
        <w:tab/>
      </w:r>
      <w:r w:rsidRPr="00E55837">
        <w:rPr>
          <w:rFonts w:ascii="Arial" w:hAnsi="Arial" w:cs="Arial"/>
          <w:b/>
          <w:bCs/>
          <w:i/>
          <w:sz w:val="22"/>
          <w:szCs w:val="22"/>
        </w:rPr>
        <w:tab/>
      </w:r>
      <w:r w:rsidRPr="00E55837">
        <w:rPr>
          <w:rFonts w:ascii="Arial" w:hAnsi="Arial" w:cs="Arial"/>
          <w:b/>
          <w:bCs/>
          <w:i/>
          <w:sz w:val="22"/>
          <w:szCs w:val="22"/>
        </w:rPr>
        <w:tab/>
        <w:t>Público</w:t>
      </w:r>
      <w:r w:rsidRPr="00E55837">
        <w:rPr>
          <w:rFonts w:ascii="Arial" w:hAnsi="Arial" w:cs="Arial"/>
          <w:b/>
          <w:bCs/>
          <w:i/>
          <w:sz w:val="22"/>
          <w:szCs w:val="22"/>
        </w:rPr>
        <w:tab/>
      </w:r>
    </w:p>
    <w:p w14:paraId="4CFA9CAA" w14:textId="77777777" w:rsidR="00585165" w:rsidRPr="00AC5A8B" w:rsidRDefault="00585165" w:rsidP="00585165">
      <w:pPr>
        <w:spacing w:line="276" w:lineRule="auto"/>
        <w:ind w:firstLine="708"/>
        <w:jc w:val="both"/>
        <w:rPr>
          <w:rFonts w:ascii="Arial" w:hAnsi="Arial" w:cs="Arial"/>
          <w:bCs/>
          <w:i/>
          <w:sz w:val="22"/>
          <w:szCs w:val="22"/>
        </w:rPr>
      </w:pPr>
      <w:r w:rsidRPr="00AC5A8B">
        <w:rPr>
          <w:rFonts w:ascii="Arial" w:hAnsi="Arial" w:cs="Arial"/>
          <w:bCs/>
          <w:i/>
          <w:sz w:val="22"/>
          <w:szCs w:val="22"/>
        </w:rPr>
        <w:t>Destinação de Recursos</w:t>
      </w:r>
    </w:p>
    <w:p w14:paraId="4558F508" w14:textId="77777777" w:rsidR="00585165" w:rsidRPr="00AC5A8B" w:rsidRDefault="00585165" w:rsidP="00585165">
      <w:pPr>
        <w:spacing w:line="276" w:lineRule="auto"/>
        <w:ind w:firstLine="708"/>
        <w:jc w:val="both"/>
        <w:rPr>
          <w:rFonts w:ascii="Arial" w:hAnsi="Arial" w:cs="Arial"/>
          <w:bCs/>
          <w:sz w:val="23"/>
          <w:szCs w:val="23"/>
        </w:rPr>
      </w:pPr>
      <w:r w:rsidRPr="00E55837">
        <w:rPr>
          <w:rFonts w:ascii="Arial" w:hAnsi="Arial" w:cs="Arial"/>
          <w:b/>
          <w:bCs/>
          <w:i/>
          <w:sz w:val="22"/>
          <w:szCs w:val="22"/>
        </w:rPr>
        <w:t>1.500 – Recursos Não Vinculados de Impostos</w:t>
      </w:r>
      <w:r w:rsidRPr="00AC5A8B">
        <w:rPr>
          <w:rFonts w:ascii="Arial" w:hAnsi="Arial" w:cs="Arial"/>
          <w:bCs/>
          <w:sz w:val="23"/>
          <w:szCs w:val="23"/>
        </w:rPr>
        <w:tab/>
        <w:t xml:space="preserve"> </w:t>
      </w:r>
      <w:r w:rsidRPr="00C57BA9">
        <w:rPr>
          <w:rFonts w:ascii="Arial" w:hAnsi="Arial" w:cs="Arial"/>
          <w:b/>
          <w:bCs/>
          <w:sz w:val="23"/>
          <w:szCs w:val="23"/>
        </w:rPr>
        <w:t xml:space="preserve">R$ </w:t>
      </w:r>
      <w:r w:rsidRPr="00C57BA9">
        <w:rPr>
          <w:rFonts w:ascii="Verdana" w:hAnsi="Verdana"/>
          <w:b/>
          <w:sz w:val="23"/>
          <w:szCs w:val="23"/>
        </w:rPr>
        <w:t>13.864,34</w:t>
      </w:r>
    </w:p>
    <w:p w14:paraId="00BD147E" w14:textId="77777777" w:rsidR="00585165" w:rsidRPr="00AC5A8B" w:rsidRDefault="00585165" w:rsidP="00585165">
      <w:pPr>
        <w:spacing w:line="276" w:lineRule="auto"/>
        <w:jc w:val="both"/>
        <w:rPr>
          <w:rFonts w:ascii="Arial" w:hAnsi="Arial" w:cs="Arial"/>
          <w:b/>
          <w:bCs/>
          <w:sz w:val="23"/>
          <w:szCs w:val="23"/>
        </w:rPr>
      </w:pPr>
    </w:p>
    <w:p w14:paraId="70C7DE6B" w14:textId="77777777" w:rsidR="00585165" w:rsidRDefault="00585165" w:rsidP="00585165">
      <w:pPr>
        <w:spacing w:before="100" w:beforeAutospacing="1" w:after="100" w:afterAutospacing="1" w:line="276" w:lineRule="auto"/>
        <w:jc w:val="both"/>
        <w:rPr>
          <w:rFonts w:ascii="Verdana" w:hAnsi="Verdana"/>
          <w:sz w:val="23"/>
          <w:szCs w:val="23"/>
        </w:rPr>
      </w:pPr>
      <w:r w:rsidRPr="00333998">
        <w:rPr>
          <w:rFonts w:ascii="Verdana" w:hAnsi="Verdana"/>
          <w:b/>
          <w:bCs/>
          <w:sz w:val="23"/>
          <w:szCs w:val="23"/>
        </w:rPr>
        <w:t xml:space="preserve">Art. 5º </w:t>
      </w:r>
      <w:r w:rsidRPr="00333998">
        <w:rPr>
          <w:rFonts w:ascii="Verdana" w:hAnsi="Verdana"/>
          <w:sz w:val="23"/>
          <w:szCs w:val="23"/>
        </w:rPr>
        <w:t>Como fonte de recurso para abertura do Crédito adicional especial será utilizada a anulação parcial da seguinte dotação em conformidade com o disposto no artigo 43, §1°, inciso III, da Lei n° 4.320, de 17 de março de 1964.</w:t>
      </w:r>
    </w:p>
    <w:p w14:paraId="3EAC9500" w14:textId="77777777" w:rsidR="00585165" w:rsidRPr="0004451B" w:rsidRDefault="00585165" w:rsidP="00585165">
      <w:pPr>
        <w:spacing w:line="276" w:lineRule="auto"/>
        <w:ind w:firstLine="708"/>
        <w:jc w:val="both"/>
        <w:rPr>
          <w:rFonts w:ascii="Arial" w:hAnsi="Arial" w:cs="Arial"/>
          <w:i/>
          <w:sz w:val="22"/>
          <w:szCs w:val="22"/>
        </w:rPr>
      </w:pPr>
      <w:r w:rsidRPr="0004451B">
        <w:rPr>
          <w:rFonts w:ascii="Arial" w:hAnsi="Arial" w:cs="Arial"/>
          <w:bCs/>
          <w:i/>
          <w:sz w:val="22"/>
          <w:szCs w:val="22"/>
        </w:rPr>
        <w:t>Órgão:</w:t>
      </w:r>
      <w:r w:rsidRPr="0004451B">
        <w:rPr>
          <w:rFonts w:ascii="Arial" w:hAnsi="Arial" w:cs="Arial"/>
          <w:b/>
          <w:bCs/>
          <w:i/>
          <w:sz w:val="22"/>
          <w:szCs w:val="22"/>
        </w:rPr>
        <w:t xml:space="preserve"> 02 – Executivo Municipal</w:t>
      </w:r>
      <w:r w:rsidRPr="0004451B">
        <w:rPr>
          <w:rFonts w:ascii="Arial" w:hAnsi="Arial" w:cs="Arial"/>
          <w:b/>
          <w:bCs/>
          <w:i/>
          <w:sz w:val="22"/>
          <w:szCs w:val="22"/>
        </w:rPr>
        <w:tab/>
      </w:r>
    </w:p>
    <w:p w14:paraId="7DDCF631" w14:textId="77777777" w:rsidR="00585165" w:rsidRPr="0004451B" w:rsidRDefault="00585165" w:rsidP="00585165">
      <w:pPr>
        <w:spacing w:line="276" w:lineRule="auto"/>
        <w:ind w:firstLine="708"/>
        <w:jc w:val="both"/>
        <w:rPr>
          <w:rFonts w:ascii="Arial" w:hAnsi="Arial" w:cs="Arial"/>
          <w:b/>
          <w:bCs/>
          <w:i/>
          <w:sz w:val="22"/>
          <w:szCs w:val="22"/>
        </w:rPr>
      </w:pPr>
      <w:r w:rsidRPr="0004451B">
        <w:rPr>
          <w:rFonts w:ascii="Arial" w:hAnsi="Arial" w:cs="Arial"/>
          <w:bCs/>
          <w:i/>
          <w:sz w:val="22"/>
          <w:szCs w:val="22"/>
        </w:rPr>
        <w:t>Unidade:</w:t>
      </w:r>
      <w:r w:rsidRPr="0004451B">
        <w:rPr>
          <w:rFonts w:ascii="Arial" w:hAnsi="Arial" w:cs="Arial"/>
          <w:b/>
          <w:bCs/>
          <w:i/>
          <w:sz w:val="22"/>
          <w:szCs w:val="22"/>
        </w:rPr>
        <w:t xml:space="preserve"> 02.03.03 – Secretaria Municipal de Educação</w:t>
      </w:r>
    </w:p>
    <w:p w14:paraId="20DDA3CC" w14:textId="77777777" w:rsidR="00585165" w:rsidRPr="0004451B" w:rsidRDefault="00585165" w:rsidP="00585165">
      <w:pPr>
        <w:spacing w:line="276" w:lineRule="auto"/>
        <w:ind w:left="708"/>
        <w:jc w:val="both"/>
        <w:rPr>
          <w:rFonts w:ascii="Arial" w:hAnsi="Arial" w:cs="Arial"/>
          <w:b/>
          <w:bCs/>
          <w:i/>
          <w:sz w:val="22"/>
          <w:szCs w:val="22"/>
        </w:rPr>
      </w:pPr>
      <w:r w:rsidRPr="0004451B">
        <w:rPr>
          <w:rFonts w:ascii="Arial" w:hAnsi="Arial" w:cs="Arial"/>
          <w:bCs/>
          <w:i/>
          <w:sz w:val="22"/>
          <w:szCs w:val="22"/>
        </w:rPr>
        <w:t>Classificação programática:</w:t>
      </w:r>
      <w:r w:rsidRPr="0004451B">
        <w:rPr>
          <w:rFonts w:ascii="Arial" w:hAnsi="Arial" w:cs="Arial"/>
          <w:b/>
          <w:bCs/>
          <w:i/>
          <w:sz w:val="22"/>
          <w:szCs w:val="22"/>
        </w:rPr>
        <w:tab/>
      </w:r>
      <w:r>
        <w:rPr>
          <w:rFonts w:ascii="Arial" w:hAnsi="Arial" w:cs="Arial"/>
          <w:bCs/>
          <w:i/>
          <w:sz w:val="22"/>
          <w:szCs w:val="22"/>
        </w:rPr>
        <w:t xml:space="preserve"> </w:t>
      </w:r>
      <w:r w:rsidRPr="0004451B">
        <w:rPr>
          <w:rFonts w:ascii="Arial" w:hAnsi="Arial" w:cs="Arial"/>
          <w:b/>
          <w:bCs/>
          <w:i/>
          <w:sz w:val="22"/>
          <w:szCs w:val="22"/>
        </w:rPr>
        <w:t>12.363.1214.2515 Manutenção da Atividades Cursos Profissionalizantes</w:t>
      </w:r>
      <w:r w:rsidRPr="0004451B">
        <w:rPr>
          <w:rFonts w:ascii="Arial" w:hAnsi="Arial" w:cs="Arial"/>
          <w:b/>
          <w:bCs/>
          <w:i/>
          <w:sz w:val="22"/>
          <w:szCs w:val="22"/>
        </w:rPr>
        <w:tab/>
      </w:r>
      <w:r w:rsidRPr="0004451B">
        <w:rPr>
          <w:rFonts w:ascii="Arial" w:hAnsi="Arial" w:cs="Arial"/>
          <w:b/>
          <w:bCs/>
          <w:i/>
          <w:sz w:val="22"/>
          <w:szCs w:val="22"/>
        </w:rPr>
        <w:tab/>
      </w:r>
    </w:p>
    <w:p w14:paraId="71E19575" w14:textId="77777777" w:rsidR="00585165" w:rsidRPr="0004451B" w:rsidRDefault="00585165" w:rsidP="00585165">
      <w:pPr>
        <w:spacing w:line="276" w:lineRule="auto"/>
        <w:ind w:firstLine="708"/>
        <w:jc w:val="both"/>
        <w:rPr>
          <w:rFonts w:ascii="Arial" w:hAnsi="Arial" w:cs="Arial"/>
          <w:b/>
          <w:bCs/>
          <w:i/>
          <w:sz w:val="22"/>
          <w:szCs w:val="22"/>
        </w:rPr>
      </w:pPr>
      <w:r w:rsidRPr="0004451B">
        <w:rPr>
          <w:rFonts w:ascii="Arial" w:hAnsi="Arial" w:cs="Arial"/>
          <w:bCs/>
          <w:i/>
          <w:sz w:val="22"/>
          <w:szCs w:val="22"/>
        </w:rPr>
        <w:t>Natureza da despesa:</w:t>
      </w:r>
      <w:r w:rsidRPr="0004451B">
        <w:rPr>
          <w:rFonts w:ascii="Arial" w:hAnsi="Arial" w:cs="Arial"/>
          <w:b/>
          <w:bCs/>
          <w:i/>
          <w:sz w:val="22"/>
          <w:szCs w:val="22"/>
        </w:rPr>
        <w:tab/>
        <w:t>3.3.90.30.00 Material de Consumo</w:t>
      </w:r>
    </w:p>
    <w:p w14:paraId="762FAD3A" w14:textId="77777777" w:rsidR="00585165" w:rsidRPr="0004451B" w:rsidRDefault="00585165" w:rsidP="00585165">
      <w:pPr>
        <w:spacing w:line="276" w:lineRule="auto"/>
        <w:ind w:firstLine="708"/>
        <w:jc w:val="both"/>
        <w:rPr>
          <w:rFonts w:ascii="Arial" w:hAnsi="Arial" w:cs="Arial"/>
          <w:bCs/>
          <w:i/>
          <w:sz w:val="22"/>
          <w:szCs w:val="22"/>
        </w:rPr>
      </w:pPr>
      <w:r w:rsidRPr="0004451B">
        <w:rPr>
          <w:rFonts w:ascii="Arial" w:hAnsi="Arial" w:cs="Arial"/>
          <w:bCs/>
          <w:i/>
          <w:sz w:val="22"/>
          <w:szCs w:val="22"/>
        </w:rPr>
        <w:t>Destinação de Recursos</w:t>
      </w:r>
    </w:p>
    <w:p w14:paraId="1E157080" w14:textId="77777777" w:rsidR="00585165" w:rsidRDefault="00585165" w:rsidP="00585165">
      <w:pPr>
        <w:spacing w:line="276" w:lineRule="auto"/>
        <w:ind w:firstLine="708"/>
        <w:jc w:val="both"/>
        <w:rPr>
          <w:rFonts w:ascii="Verdana" w:hAnsi="Verdana"/>
          <w:b/>
          <w:sz w:val="23"/>
          <w:szCs w:val="23"/>
        </w:rPr>
      </w:pPr>
      <w:r w:rsidRPr="0004451B">
        <w:rPr>
          <w:rFonts w:ascii="Arial" w:hAnsi="Arial" w:cs="Arial"/>
          <w:b/>
          <w:bCs/>
          <w:i/>
          <w:sz w:val="22"/>
          <w:szCs w:val="22"/>
        </w:rPr>
        <w:t>1.500 – Recursos Não Vinculados de Impostos</w:t>
      </w:r>
      <w:r w:rsidRPr="0004451B">
        <w:rPr>
          <w:rFonts w:ascii="Arial" w:hAnsi="Arial" w:cs="Arial"/>
          <w:bCs/>
          <w:i/>
          <w:sz w:val="22"/>
          <w:szCs w:val="22"/>
        </w:rPr>
        <w:tab/>
        <w:t xml:space="preserve"> </w:t>
      </w:r>
      <w:r w:rsidRPr="00C57BA9">
        <w:rPr>
          <w:rFonts w:ascii="Arial" w:hAnsi="Arial" w:cs="Arial"/>
          <w:b/>
          <w:bCs/>
          <w:i/>
          <w:sz w:val="22"/>
          <w:szCs w:val="22"/>
        </w:rPr>
        <w:t>R$</w:t>
      </w:r>
      <w:r w:rsidRPr="00C57BA9">
        <w:rPr>
          <w:rFonts w:ascii="Arial" w:hAnsi="Arial" w:cs="Arial"/>
          <w:b/>
          <w:bCs/>
          <w:sz w:val="23"/>
          <w:szCs w:val="23"/>
        </w:rPr>
        <w:t xml:space="preserve"> </w:t>
      </w:r>
      <w:r w:rsidRPr="00C57BA9">
        <w:rPr>
          <w:rFonts w:ascii="Verdana" w:hAnsi="Verdana"/>
          <w:b/>
          <w:sz w:val="23"/>
          <w:szCs w:val="23"/>
        </w:rPr>
        <w:t>13.864,34</w:t>
      </w:r>
    </w:p>
    <w:p w14:paraId="34A80E22" w14:textId="77777777" w:rsidR="00585165" w:rsidRPr="0004451B" w:rsidRDefault="00585165" w:rsidP="00585165">
      <w:pPr>
        <w:spacing w:line="276" w:lineRule="auto"/>
        <w:ind w:firstLine="708"/>
        <w:jc w:val="both"/>
        <w:rPr>
          <w:rFonts w:ascii="Verdana" w:hAnsi="Verdana"/>
          <w:b/>
          <w:bCs/>
          <w:sz w:val="23"/>
          <w:szCs w:val="23"/>
        </w:rPr>
      </w:pPr>
    </w:p>
    <w:p w14:paraId="37899DAA" w14:textId="77777777" w:rsidR="00585165" w:rsidRDefault="00585165" w:rsidP="00585165">
      <w:pPr>
        <w:spacing w:before="100" w:beforeAutospacing="1" w:line="276" w:lineRule="auto"/>
        <w:jc w:val="both"/>
        <w:rPr>
          <w:rFonts w:ascii="Verdana" w:eastAsia="Calibri" w:hAnsi="Verdana"/>
          <w:sz w:val="23"/>
          <w:szCs w:val="23"/>
        </w:rPr>
      </w:pPr>
      <w:r w:rsidRPr="00333998">
        <w:rPr>
          <w:rFonts w:ascii="Verdana" w:eastAsia="Calibri" w:hAnsi="Verdana"/>
          <w:b/>
          <w:bCs/>
          <w:sz w:val="23"/>
          <w:szCs w:val="23"/>
        </w:rPr>
        <w:t>Art. 6º</w:t>
      </w:r>
      <w:r w:rsidRPr="00333998">
        <w:rPr>
          <w:rFonts w:ascii="Verdana" w:hAnsi="Verdana"/>
          <w:sz w:val="23"/>
          <w:szCs w:val="23"/>
        </w:rPr>
        <w:t xml:space="preserve"> E</w:t>
      </w:r>
      <w:r w:rsidRPr="00333998">
        <w:rPr>
          <w:rFonts w:ascii="Verdana" w:eastAsia="Calibri" w:hAnsi="Verdana"/>
          <w:sz w:val="23"/>
          <w:szCs w:val="23"/>
        </w:rPr>
        <w:t>sta Lei entra em vigor na data de sua publicação.</w:t>
      </w:r>
    </w:p>
    <w:p w14:paraId="000C431C" w14:textId="77777777" w:rsidR="00585165" w:rsidRDefault="00585165" w:rsidP="00585165">
      <w:pPr>
        <w:pStyle w:val="Corpodetexto"/>
        <w:tabs>
          <w:tab w:val="left" w:pos="1038"/>
        </w:tabs>
        <w:jc w:val="center"/>
        <w:rPr>
          <w:rFonts w:ascii="Verdana" w:hAnsi="Verdana" w:cs="Arial"/>
          <w:sz w:val="23"/>
          <w:szCs w:val="23"/>
        </w:rPr>
      </w:pPr>
    </w:p>
    <w:p w14:paraId="765836C6" w14:textId="77777777" w:rsidR="00585165" w:rsidRPr="00333998" w:rsidRDefault="00585165" w:rsidP="00585165">
      <w:pPr>
        <w:pStyle w:val="Corpodetexto"/>
        <w:tabs>
          <w:tab w:val="left" w:pos="1038"/>
        </w:tabs>
        <w:jc w:val="center"/>
        <w:rPr>
          <w:rFonts w:ascii="Verdana" w:hAnsi="Verdana" w:cs="Arial"/>
          <w:sz w:val="23"/>
          <w:szCs w:val="23"/>
        </w:rPr>
      </w:pPr>
    </w:p>
    <w:p w14:paraId="7177451D" w14:textId="77777777" w:rsidR="00585165" w:rsidRPr="00333998" w:rsidRDefault="00585165" w:rsidP="00585165">
      <w:pPr>
        <w:tabs>
          <w:tab w:val="left" w:pos="0"/>
        </w:tabs>
        <w:jc w:val="center"/>
        <w:rPr>
          <w:rFonts w:ascii="Verdana" w:hAnsi="Verdana" w:cs="Arial"/>
          <w:b/>
          <w:sz w:val="23"/>
          <w:szCs w:val="23"/>
        </w:rPr>
      </w:pPr>
      <w:r w:rsidRPr="00333998">
        <w:rPr>
          <w:rFonts w:ascii="Verdana" w:hAnsi="Verdana" w:cs="Arial"/>
          <w:b/>
          <w:sz w:val="23"/>
          <w:szCs w:val="23"/>
        </w:rPr>
        <w:t>DANILO OLIVEIRA CAMPOS</w:t>
      </w:r>
    </w:p>
    <w:p w14:paraId="07A34F5E" w14:textId="77777777" w:rsidR="00585165" w:rsidRPr="00333998" w:rsidRDefault="00585165" w:rsidP="00585165">
      <w:pPr>
        <w:tabs>
          <w:tab w:val="left" w:pos="0"/>
        </w:tabs>
        <w:jc w:val="center"/>
        <w:rPr>
          <w:rFonts w:ascii="Verdana" w:hAnsi="Verdana"/>
          <w:sz w:val="23"/>
          <w:szCs w:val="23"/>
        </w:rPr>
      </w:pPr>
      <w:r w:rsidRPr="00333998">
        <w:rPr>
          <w:rFonts w:ascii="Verdana" w:hAnsi="Verdana" w:cs="Arial"/>
          <w:sz w:val="23"/>
          <w:szCs w:val="23"/>
        </w:rPr>
        <w:t>Prefeito</w:t>
      </w:r>
    </w:p>
    <w:p w14:paraId="1F288492" w14:textId="77777777" w:rsidR="00585165" w:rsidRPr="00333998" w:rsidRDefault="00585165" w:rsidP="00585165">
      <w:pPr>
        <w:rPr>
          <w:rFonts w:ascii="Verdana" w:hAnsi="Verdana"/>
          <w:sz w:val="23"/>
          <w:szCs w:val="23"/>
        </w:rPr>
      </w:pPr>
    </w:p>
    <w:p w14:paraId="7E509421" w14:textId="77777777" w:rsidR="00013EB3" w:rsidRDefault="00013EB3"/>
    <w:sectPr w:rsidR="00013EB3" w:rsidSect="00A501E5">
      <w:headerReference w:type="default" r:id="rId6"/>
      <w:footerReference w:type="default" r:id="rId7"/>
      <w:pgSz w:w="11906" w:h="16838"/>
      <w:pgMar w:top="1417" w:right="1701" w:bottom="1135" w:left="1134"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1ECE" w14:textId="77777777" w:rsidR="00A501E5" w:rsidRDefault="00000000" w:rsidP="00A501E5">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14:paraId="37486488" w14:textId="77777777" w:rsidR="00A501E5" w:rsidRDefault="00000000" w:rsidP="00A501E5">
    <w:pPr>
      <w:pStyle w:val="Rodap"/>
      <w:ind w:right="360"/>
      <w:jc w:val="center"/>
      <w:rPr>
        <w:sz w:val="10"/>
        <w:szCs w:val="10"/>
      </w:rPr>
    </w:pPr>
  </w:p>
  <w:p w14:paraId="6F4588E0" w14:textId="77777777" w:rsidR="00A501E5" w:rsidRDefault="00000000" w:rsidP="00A501E5">
    <w:pPr>
      <w:pStyle w:val="Rodap"/>
      <w:shd w:val="pct5" w:color="auto" w:fill="FFFFFF"/>
      <w:jc w:val="center"/>
      <w:rPr>
        <w:rFonts w:ascii="Garamond" w:hAnsi="Garamond"/>
        <w:b/>
        <w:sz w:val="22"/>
        <w:szCs w:val="22"/>
      </w:rPr>
    </w:pPr>
  </w:p>
  <w:p w14:paraId="59A0EEF0" w14:textId="77777777" w:rsidR="00A501E5" w:rsidRDefault="00000000" w:rsidP="00A501E5">
    <w:pPr>
      <w:pStyle w:val="Rodap"/>
    </w:pPr>
  </w:p>
  <w:p w14:paraId="0DFB46E1" w14:textId="77777777" w:rsidR="00A501E5"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7A61" w14:textId="77777777" w:rsidR="00A501E5" w:rsidRPr="00D112FD" w:rsidRDefault="00000000" w:rsidP="00A501E5">
    <w:pPr>
      <w:pStyle w:val="Cabealho"/>
      <w:jc w:val="both"/>
      <w:rPr>
        <w:b/>
        <w:sz w:val="28"/>
        <w:szCs w:val="28"/>
      </w:rPr>
    </w:pPr>
    <w:r w:rsidRPr="00D112FD">
      <w:rPr>
        <w:b/>
        <w:noProof/>
        <w:sz w:val="28"/>
        <w:szCs w:val="28"/>
      </w:rPr>
      <mc:AlternateContent>
        <mc:Choice Requires="wpg">
          <w:drawing>
            <wp:anchor distT="0" distB="0" distL="114300" distR="114300" simplePos="0" relativeHeight="251660288" behindDoc="0" locked="0" layoutInCell="0" allowOverlap="1" wp14:anchorId="183BA897" wp14:editId="43BF7668">
              <wp:simplePos x="0" y="0"/>
              <wp:positionH relativeFrom="page">
                <wp:posOffset>6776085</wp:posOffset>
              </wp:positionH>
              <wp:positionV relativeFrom="page">
                <wp:posOffset>2148205</wp:posOffset>
              </wp:positionV>
              <wp:extent cx="488315" cy="237490"/>
              <wp:effectExtent l="3810" t="5080" r="3175" b="508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85EE8" w14:textId="77777777" w:rsidR="00F575E4" w:rsidRDefault="00000000">
                            <w:pPr>
                              <w:pStyle w:val="Cabealho"/>
                              <w:jc w:val="center"/>
                            </w:pPr>
                            <w:r w:rsidRPr="00F575E4">
                              <w:rPr>
                                <w:sz w:val="22"/>
                                <w:szCs w:val="22"/>
                              </w:rPr>
                              <w:fldChar w:fldCharType="begin"/>
                            </w:r>
                            <w:r>
                              <w:instrText>PAGE    \* MERGEFORMAT</w:instrText>
                            </w:r>
                            <w:r w:rsidRPr="00F575E4">
                              <w:rPr>
                                <w:sz w:val="22"/>
                                <w:szCs w:val="22"/>
                              </w:rPr>
                              <w:fldChar w:fldCharType="separate"/>
                            </w:r>
                            <w:r w:rsidRPr="00C57BA9">
                              <w:rPr>
                                <w:rStyle w:val="Nmerodepgina"/>
                                <w:b/>
                                <w:bCs/>
                                <w:noProof/>
                                <w:color w:val="7F5F00"/>
                                <w:sz w:val="16"/>
                                <w:szCs w:val="16"/>
                              </w:rPr>
                              <w:t>1</w:t>
                            </w:r>
                            <w:r w:rsidRPr="00F575E4">
                              <w:rPr>
                                <w:rStyle w:val="Nmerodepgina"/>
                                <w:b/>
                                <w:bCs/>
                                <w:color w:val="7F5F00"/>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3BA897" id="Agrupar 2" o:spid="_x0000_s1026" style="position:absolute;left:0;text-align:left;margin-left:533.55pt;margin-top:169.15pt;width:38.45pt;height:18.7pt;z-index:25166028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75285EE8" w14:textId="77777777" w:rsidR="00F575E4" w:rsidRDefault="00000000">
                      <w:pPr>
                        <w:pStyle w:val="Cabealho"/>
                        <w:jc w:val="center"/>
                      </w:pPr>
                      <w:r w:rsidRPr="00F575E4">
                        <w:rPr>
                          <w:sz w:val="22"/>
                          <w:szCs w:val="22"/>
                        </w:rPr>
                        <w:fldChar w:fldCharType="begin"/>
                      </w:r>
                      <w:r>
                        <w:instrText>PAGE    \* MERGEFORMAT</w:instrText>
                      </w:r>
                      <w:r w:rsidRPr="00F575E4">
                        <w:rPr>
                          <w:sz w:val="22"/>
                          <w:szCs w:val="22"/>
                        </w:rPr>
                        <w:fldChar w:fldCharType="separate"/>
                      </w:r>
                      <w:r w:rsidRPr="00C57BA9">
                        <w:rPr>
                          <w:rStyle w:val="Nmerodepgina"/>
                          <w:b/>
                          <w:bCs/>
                          <w:noProof/>
                          <w:color w:val="7F5F00"/>
                          <w:sz w:val="16"/>
                          <w:szCs w:val="16"/>
                        </w:rPr>
                        <w:t>1</w:t>
                      </w:r>
                      <w:r w:rsidRPr="00F575E4">
                        <w:rPr>
                          <w:rStyle w:val="Nmerodepgina"/>
                          <w:b/>
                          <w:bCs/>
                          <w:color w:val="7F5F00"/>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page" anchory="page"/>
            </v:group>
          </w:pict>
        </mc:Fallback>
      </mc:AlternateContent>
    </w:r>
    <w:r>
      <w:rPr>
        <w:b/>
        <w:sz w:val="28"/>
        <w:szCs w:val="28"/>
      </w:rPr>
      <w:t>MUNICÍ</w:t>
    </w:r>
    <w:r w:rsidRPr="00D112FD">
      <w:rPr>
        <w:b/>
        <w:sz w:val="28"/>
        <w:szCs w:val="28"/>
      </w:rPr>
      <w:t>PIO DE CÓRREGO FUNDO ESTADO DE MINAS GERAIS</w:t>
    </w:r>
  </w:p>
  <w:p w14:paraId="2EBDD2FA" w14:textId="77777777" w:rsidR="00A501E5" w:rsidRPr="00D112FD" w:rsidRDefault="00000000" w:rsidP="00A501E5">
    <w:pPr>
      <w:pStyle w:val="Cabealho"/>
      <w:tabs>
        <w:tab w:val="left" w:pos="570"/>
      </w:tabs>
      <w:jc w:val="center"/>
      <w:rPr>
        <w:b/>
        <w:bCs/>
        <w:sz w:val="18"/>
        <w:szCs w:val="18"/>
      </w:rPr>
    </w:pPr>
    <w:r w:rsidRPr="00D112FD">
      <w:rPr>
        <w:b/>
        <w:bCs/>
        <w:sz w:val="18"/>
        <w:szCs w:val="18"/>
      </w:rPr>
      <w:t>RUA JOAQUIM GONÇALVES DA FONSECA, 493 – MIZAEL BERNARDES</w:t>
    </w:r>
  </w:p>
  <w:p w14:paraId="43537E7D" w14:textId="77777777" w:rsidR="00A501E5" w:rsidRPr="00D112FD" w:rsidRDefault="00000000" w:rsidP="00A501E5">
    <w:pPr>
      <w:pStyle w:val="Cabealho"/>
      <w:jc w:val="center"/>
      <w:rPr>
        <w:sz w:val="18"/>
        <w:szCs w:val="18"/>
      </w:rPr>
    </w:pPr>
    <w:r w:rsidRPr="00D112FD">
      <w:rPr>
        <w:b/>
        <w:bCs/>
        <w:sz w:val="18"/>
        <w:szCs w:val="18"/>
      </w:rPr>
      <w:t>CEP: 35.568-000 CÓRREGO FUNDO - MG</w:t>
    </w:r>
  </w:p>
  <w:p w14:paraId="752847B1" w14:textId="77777777" w:rsidR="00A501E5" w:rsidRPr="00D112FD" w:rsidRDefault="00000000" w:rsidP="00A501E5">
    <w:pPr>
      <w:pStyle w:val="Cabealho"/>
      <w:pBdr>
        <w:bottom w:val="single" w:sz="12" w:space="1" w:color="auto"/>
      </w:pBdr>
      <w:jc w:val="center"/>
      <w:rPr>
        <w:b/>
        <w:bCs/>
        <w:sz w:val="18"/>
        <w:szCs w:val="18"/>
      </w:rPr>
    </w:pPr>
    <w:r w:rsidRPr="00D112FD">
      <w:rPr>
        <w:b/>
        <w:bCs/>
        <w:sz w:val="18"/>
        <w:szCs w:val="18"/>
      </w:rPr>
      <w:t>CNPJ 01.614.862/0001-77 – TEL.: (37) 3322-9144</w:t>
    </w:r>
  </w:p>
  <w:p w14:paraId="255339AE" w14:textId="77777777" w:rsidR="00A501E5" w:rsidRDefault="00000000">
    <w:pPr>
      <w:pStyle w:val="Cabealho"/>
    </w:pPr>
    <w:r>
      <w:rPr>
        <w:noProof/>
      </w:rPr>
      <w:drawing>
        <wp:anchor distT="0" distB="0" distL="114300" distR="114300" simplePos="0" relativeHeight="251659264" behindDoc="1" locked="0" layoutInCell="1" allowOverlap="1" wp14:anchorId="232E4D8C" wp14:editId="4261BE90">
          <wp:simplePos x="0" y="0"/>
          <wp:positionH relativeFrom="margin">
            <wp:posOffset>-579755</wp:posOffset>
          </wp:positionH>
          <wp:positionV relativeFrom="margin">
            <wp:posOffset>1506220</wp:posOffset>
          </wp:positionV>
          <wp:extent cx="5760085" cy="4878070"/>
          <wp:effectExtent l="0" t="0" r="0" b="0"/>
          <wp:wrapNone/>
          <wp:docPr id="1" name="Imagem 1"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085" cy="487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65"/>
    <w:rsid w:val="00013EB3"/>
    <w:rsid w:val="00585165"/>
    <w:rsid w:val="00985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B024"/>
  <w15:chartTrackingRefBased/>
  <w15:docId w15:val="{C986AFED-0E3C-4DC4-BDC1-96F6A593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65"/>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165"/>
    <w:pPr>
      <w:tabs>
        <w:tab w:val="center" w:pos="4252"/>
        <w:tab w:val="right" w:pos="8504"/>
      </w:tabs>
    </w:pPr>
  </w:style>
  <w:style w:type="character" w:customStyle="1" w:styleId="CabealhoChar">
    <w:name w:val="Cabeçalho Char"/>
    <w:basedOn w:val="Fontepargpadro"/>
    <w:link w:val="Cabealho"/>
    <w:uiPriority w:val="99"/>
    <w:rsid w:val="00585165"/>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nhideWhenUsed/>
    <w:rsid w:val="00585165"/>
    <w:pPr>
      <w:tabs>
        <w:tab w:val="center" w:pos="4252"/>
        <w:tab w:val="right" w:pos="8504"/>
      </w:tabs>
    </w:pPr>
  </w:style>
  <w:style w:type="character" w:customStyle="1" w:styleId="RodapChar">
    <w:name w:val="Rodapé Char"/>
    <w:basedOn w:val="Fontepargpadro"/>
    <w:link w:val="Rodap"/>
    <w:rsid w:val="00585165"/>
    <w:rPr>
      <w:rFonts w:ascii="Times New Roman" w:eastAsia="Times New Roman" w:hAnsi="Times New Roman" w:cs="Times New Roman"/>
      <w:kern w:val="0"/>
      <w:sz w:val="20"/>
      <w:szCs w:val="20"/>
      <w:lang w:eastAsia="pt-BR"/>
      <w14:ligatures w14:val="none"/>
    </w:rPr>
  </w:style>
  <w:style w:type="paragraph" w:styleId="Corpodetexto">
    <w:name w:val="Body Text"/>
    <w:basedOn w:val="Normal"/>
    <w:link w:val="CorpodetextoChar"/>
    <w:semiHidden/>
    <w:rsid w:val="00585165"/>
    <w:pPr>
      <w:suppressAutoHyphens/>
      <w:jc w:val="both"/>
    </w:pPr>
    <w:rPr>
      <w:sz w:val="24"/>
      <w:szCs w:val="24"/>
      <w:lang w:eastAsia="ar-SA"/>
    </w:rPr>
  </w:style>
  <w:style w:type="character" w:customStyle="1" w:styleId="CorpodetextoChar">
    <w:name w:val="Corpo de texto Char"/>
    <w:basedOn w:val="Fontepargpadro"/>
    <w:link w:val="Corpodetexto"/>
    <w:semiHidden/>
    <w:rsid w:val="00585165"/>
    <w:rPr>
      <w:rFonts w:ascii="Times New Roman" w:eastAsia="Times New Roman" w:hAnsi="Times New Roman" w:cs="Times New Roman"/>
      <w:kern w:val="0"/>
      <w:sz w:val="24"/>
      <w:szCs w:val="24"/>
      <w:lang w:eastAsia="ar-SA"/>
      <w14:ligatures w14:val="none"/>
    </w:rPr>
  </w:style>
  <w:style w:type="character" w:styleId="Nmerodepgina">
    <w:name w:val="page number"/>
    <w:basedOn w:val="Fontepargpadro"/>
    <w:uiPriority w:val="99"/>
    <w:unhideWhenUsed/>
    <w:rsid w:val="00585165"/>
  </w:style>
  <w:style w:type="character" w:styleId="Hyperlink">
    <w:name w:val="Hyperlink"/>
    <w:basedOn w:val="Fontepargpadro"/>
    <w:rsid w:val="00585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ameg.mg.gov.br" TargetMode="External"/><Relationship Id="rId4" Type="http://schemas.openxmlformats.org/officeDocument/2006/relationships/hyperlink" Target="http://www.diariomunicipal.com.br"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3018</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2023-07-10T17:47:00Z</dcterms:created>
  <dcterms:modified xsi:type="dcterms:W3CDTF">2023-07-10T17:49:00Z</dcterms:modified>
</cp:coreProperties>
</file>