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7DE" w14:textId="579B38F4" w:rsidR="00AC62F6" w:rsidRPr="00AC62F6" w:rsidRDefault="00AC62F6" w:rsidP="00AC62F6">
      <w:pPr>
        <w:ind w:left="2832" w:hanging="2832"/>
        <w:jc w:val="center"/>
        <w:rPr>
          <w:rFonts w:ascii="Verdana" w:hAnsi="Verdana" w:cs="Tahoma"/>
          <w:b/>
          <w:sz w:val="22"/>
          <w:szCs w:val="22"/>
        </w:rPr>
      </w:pPr>
      <w:bookmarkStart w:id="0" w:name="_Hlk62469145"/>
      <w:r w:rsidRPr="00AC62F6">
        <w:rPr>
          <w:rFonts w:ascii="Verdana" w:hAnsi="Verdana" w:cs="Tahoma"/>
          <w:b/>
          <w:sz w:val="22"/>
          <w:szCs w:val="22"/>
        </w:rPr>
        <w:t>LEI N°</w:t>
      </w:r>
      <w:r>
        <w:rPr>
          <w:rFonts w:ascii="Verdana" w:hAnsi="Verdana" w:cs="Tahoma"/>
          <w:b/>
          <w:sz w:val="22"/>
          <w:szCs w:val="22"/>
        </w:rPr>
        <w:t>.</w:t>
      </w:r>
      <w:r w:rsidRPr="00AC62F6">
        <w:rPr>
          <w:rFonts w:ascii="Verdana" w:hAnsi="Verdana" w:cs="Tahoma"/>
          <w:b/>
          <w:sz w:val="22"/>
          <w:szCs w:val="22"/>
        </w:rPr>
        <w:t xml:space="preserve"> </w:t>
      </w:r>
      <w:r>
        <w:rPr>
          <w:rFonts w:ascii="Verdana" w:hAnsi="Verdana" w:cs="Tahoma"/>
          <w:b/>
          <w:sz w:val="22"/>
          <w:szCs w:val="22"/>
        </w:rPr>
        <w:t>890</w:t>
      </w:r>
      <w:r w:rsidRPr="00AC62F6">
        <w:rPr>
          <w:rFonts w:ascii="Verdana" w:hAnsi="Verdana" w:cs="Tahoma"/>
          <w:b/>
          <w:sz w:val="22"/>
          <w:szCs w:val="22"/>
        </w:rPr>
        <w:t xml:space="preserve"> DE 1</w:t>
      </w:r>
      <w:r>
        <w:rPr>
          <w:rFonts w:ascii="Verdana" w:hAnsi="Verdana" w:cs="Tahoma"/>
          <w:b/>
          <w:sz w:val="22"/>
          <w:szCs w:val="22"/>
        </w:rPr>
        <w:t>0</w:t>
      </w:r>
      <w:r w:rsidRPr="00AC62F6">
        <w:rPr>
          <w:rFonts w:ascii="Verdana" w:hAnsi="Verdana" w:cs="Tahoma"/>
          <w:b/>
          <w:sz w:val="22"/>
          <w:szCs w:val="22"/>
        </w:rPr>
        <w:t xml:space="preserve"> DE </w:t>
      </w:r>
      <w:r>
        <w:rPr>
          <w:rFonts w:ascii="Verdana" w:hAnsi="Verdana" w:cs="Tahoma"/>
          <w:b/>
          <w:sz w:val="22"/>
          <w:szCs w:val="22"/>
        </w:rPr>
        <w:t>JULHO</w:t>
      </w:r>
      <w:r w:rsidRPr="00AC62F6">
        <w:rPr>
          <w:rFonts w:ascii="Verdana" w:hAnsi="Verdana" w:cs="Tahoma"/>
          <w:b/>
          <w:sz w:val="22"/>
          <w:szCs w:val="22"/>
        </w:rPr>
        <w:t xml:space="preserve"> DE 2023.</w:t>
      </w:r>
    </w:p>
    <w:p w14:paraId="4795C6F1" w14:textId="77777777" w:rsidR="00AC62F6" w:rsidRPr="00AC62F6" w:rsidRDefault="00AC62F6" w:rsidP="00AC62F6">
      <w:pPr>
        <w:ind w:left="2832" w:hanging="2832"/>
        <w:jc w:val="center"/>
        <w:rPr>
          <w:rFonts w:ascii="Verdana" w:hAnsi="Verdana" w:cs="Tahoma"/>
          <w:b/>
          <w:sz w:val="22"/>
          <w:szCs w:val="22"/>
        </w:rPr>
      </w:pPr>
    </w:p>
    <w:p w14:paraId="57FDD67A" w14:textId="77777777" w:rsidR="00AC62F6" w:rsidRPr="00AC62F6" w:rsidRDefault="00AC62F6" w:rsidP="00AC62F6">
      <w:pPr>
        <w:jc w:val="both"/>
        <w:rPr>
          <w:rFonts w:ascii="Verdana" w:hAnsi="Verdana" w:cs="Tahoma"/>
          <w:sz w:val="22"/>
          <w:szCs w:val="22"/>
        </w:rPr>
      </w:pPr>
    </w:p>
    <w:p w14:paraId="4019F8BC" w14:textId="77777777" w:rsidR="00AC62F6" w:rsidRPr="00AC62F6" w:rsidRDefault="00AC62F6" w:rsidP="00AC62F6">
      <w:pPr>
        <w:jc w:val="both"/>
        <w:rPr>
          <w:rFonts w:ascii="Verdana" w:hAnsi="Verdana" w:cs="Tahoma"/>
          <w:sz w:val="22"/>
          <w:szCs w:val="22"/>
        </w:rPr>
      </w:pPr>
    </w:p>
    <w:p w14:paraId="3F682C26" w14:textId="77777777" w:rsidR="00AC62F6" w:rsidRPr="00AC62F6" w:rsidRDefault="00AC62F6" w:rsidP="00AC62F6">
      <w:pPr>
        <w:snapToGrid w:val="0"/>
        <w:ind w:left="3402"/>
        <w:jc w:val="both"/>
        <w:rPr>
          <w:rFonts w:ascii="Verdana" w:hAnsi="Verdana" w:cs="Tahoma"/>
          <w:b/>
          <w:sz w:val="22"/>
          <w:szCs w:val="22"/>
        </w:rPr>
      </w:pPr>
      <w:r w:rsidRPr="00AC62F6">
        <w:rPr>
          <w:rFonts w:ascii="Verdana" w:hAnsi="Verdana" w:cs="Tahoma"/>
          <w:b/>
          <w:sz w:val="22"/>
          <w:szCs w:val="22"/>
        </w:rPr>
        <w:t xml:space="preserve">Dispõe sobre as Diretrizes para a elaboração da Lei Orçamentária de 2024 e dá outras providências. </w:t>
      </w:r>
    </w:p>
    <w:p w14:paraId="1A727E35" w14:textId="77777777" w:rsidR="00AC62F6" w:rsidRPr="00AC62F6" w:rsidRDefault="00AC62F6" w:rsidP="00AC62F6">
      <w:pPr>
        <w:ind w:left="3402"/>
        <w:jc w:val="both"/>
        <w:rPr>
          <w:rFonts w:ascii="Verdana" w:hAnsi="Verdana" w:cs="Tahoma"/>
          <w:b/>
          <w:sz w:val="22"/>
          <w:szCs w:val="22"/>
        </w:rPr>
      </w:pPr>
    </w:p>
    <w:p w14:paraId="356066E9" w14:textId="77777777" w:rsidR="00AC62F6" w:rsidRPr="00AC62F6" w:rsidRDefault="00AC62F6" w:rsidP="00AC62F6">
      <w:pPr>
        <w:jc w:val="both"/>
        <w:rPr>
          <w:rFonts w:ascii="Verdana" w:hAnsi="Verdana" w:cs="Tahoma"/>
          <w:b/>
          <w:sz w:val="22"/>
          <w:szCs w:val="22"/>
        </w:rPr>
      </w:pPr>
    </w:p>
    <w:p w14:paraId="4E58C033" w14:textId="77777777" w:rsidR="00AC62F6" w:rsidRPr="00AC62F6" w:rsidRDefault="00AC62F6" w:rsidP="00AC62F6">
      <w:pPr>
        <w:jc w:val="both"/>
        <w:rPr>
          <w:rFonts w:ascii="Verdana" w:hAnsi="Verdana" w:cs="Tahoma"/>
          <w:b/>
          <w:sz w:val="22"/>
          <w:szCs w:val="22"/>
        </w:rPr>
      </w:pPr>
    </w:p>
    <w:p w14:paraId="3DD25046" w14:textId="77777777" w:rsidR="00AC62F6" w:rsidRPr="00AC62F6" w:rsidRDefault="00AC62F6" w:rsidP="00AC62F6">
      <w:pPr>
        <w:jc w:val="both"/>
        <w:rPr>
          <w:rFonts w:ascii="Verdana" w:hAnsi="Verdana" w:cs="Arial"/>
          <w:b/>
          <w:sz w:val="22"/>
          <w:szCs w:val="22"/>
        </w:rPr>
      </w:pPr>
      <w:r w:rsidRPr="00AC62F6">
        <w:rPr>
          <w:rFonts w:ascii="Verdana" w:hAnsi="Verdana" w:cs="Tahoma"/>
          <w:b/>
          <w:bCs/>
          <w:sz w:val="22"/>
          <w:szCs w:val="22"/>
        </w:rPr>
        <w:t xml:space="preserve">O POVO DO MUNICÍPIO DE CÓRREGO FUNDO/MG, POR SEUS REPRESENTANTES NA CÂMARA MUNICIPAL APROVOU E EU, DANILO OLIVEIRA CAMPOS, PREFEITO </w:t>
      </w:r>
      <w:r w:rsidRPr="00AC62F6">
        <w:rPr>
          <w:rFonts w:ascii="Verdana" w:hAnsi="Verdana" w:cs="Arial"/>
          <w:b/>
          <w:caps/>
          <w:sz w:val="22"/>
          <w:szCs w:val="22"/>
        </w:rPr>
        <w:t>Sanciono a seguinte lei</w:t>
      </w:r>
      <w:r w:rsidRPr="00AC62F6">
        <w:rPr>
          <w:rFonts w:ascii="Verdana" w:hAnsi="Verdana" w:cs="Arial"/>
          <w:b/>
          <w:sz w:val="22"/>
          <w:szCs w:val="22"/>
        </w:rPr>
        <w:t>:</w:t>
      </w:r>
    </w:p>
    <w:p w14:paraId="485E6EE9" w14:textId="77777777" w:rsidR="00AC62F6" w:rsidRPr="00AC62F6" w:rsidRDefault="00AC62F6" w:rsidP="00AC62F6">
      <w:pPr>
        <w:ind w:left="3600"/>
        <w:jc w:val="both"/>
        <w:rPr>
          <w:rFonts w:ascii="Verdana" w:hAnsi="Verdana" w:cs="Arial"/>
          <w:sz w:val="22"/>
          <w:szCs w:val="22"/>
        </w:rPr>
      </w:pPr>
    </w:p>
    <w:p w14:paraId="69D1C68B" w14:textId="77777777" w:rsidR="00AC62F6" w:rsidRPr="00AC62F6" w:rsidRDefault="00AC62F6" w:rsidP="00AC62F6">
      <w:pPr>
        <w:jc w:val="center"/>
        <w:rPr>
          <w:rFonts w:ascii="Verdana" w:hAnsi="Verdana" w:cs="Arial"/>
          <w:sz w:val="22"/>
          <w:szCs w:val="22"/>
        </w:rPr>
      </w:pPr>
    </w:p>
    <w:p w14:paraId="2FBAC3E6" w14:textId="77777777" w:rsidR="00AC62F6" w:rsidRPr="00AC62F6" w:rsidRDefault="00AC62F6" w:rsidP="00AC62F6">
      <w:pPr>
        <w:pStyle w:val="Blockquote"/>
        <w:tabs>
          <w:tab w:val="left" w:pos="9356"/>
        </w:tabs>
        <w:spacing w:before="0" w:after="0"/>
        <w:ind w:left="0" w:right="4"/>
        <w:jc w:val="center"/>
        <w:rPr>
          <w:rFonts w:ascii="Verdana" w:hAnsi="Verdana" w:cs="Arial"/>
          <w:b/>
          <w:sz w:val="22"/>
          <w:szCs w:val="22"/>
        </w:rPr>
      </w:pPr>
      <w:r w:rsidRPr="00AC62F6">
        <w:rPr>
          <w:rFonts w:ascii="Verdana" w:hAnsi="Verdana" w:cs="Arial"/>
          <w:b/>
          <w:sz w:val="22"/>
          <w:szCs w:val="22"/>
        </w:rPr>
        <w:t>Capítulo I - Disposições Preliminares</w:t>
      </w:r>
    </w:p>
    <w:p w14:paraId="2AFA1CA2" w14:textId="77777777" w:rsidR="00AC62F6" w:rsidRPr="00AC62F6" w:rsidRDefault="00AC62F6" w:rsidP="00AC62F6">
      <w:pPr>
        <w:pStyle w:val="Blockquote"/>
        <w:tabs>
          <w:tab w:val="left" w:pos="9356"/>
        </w:tabs>
        <w:spacing w:before="0" w:after="0"/>
        <w:ind w:left="0" w:right="4"/>
        <w:jc w:val="center"/>
        <w:rPr>
          <w:rFonts w:ascii="Verdana" w:hAnsi="Verdana" w:cs="Arial"/>
          <w:b/>
          <w:sz w:val="22"/>
          <w:szCs w:val="22"/>
        </w:rPr>
      </w:pPr>
    </w:p>
    <w:p w14:paraId="582930AB" w14:textId="77777777" w:rsidR="00AC62F6" w:rsidRPr="00AC62F6" w:rsidRDefault="00AC62F6" w:rsidP="00AC62F6">
      <w:pPr>
        <w:pStyle w:val="Blockquote"/>
        <w:tabs>
          <w:tab w:val="left" w:pos="9356"/>
        </w:tabs>
        <w:spacing w:before="0" w:after="0"/>
        <w:ind w:left="0" w:right="4"/>
        <w:jc w:val="both"/>
        <w:rPr>
          <w:rStyle w:val="Forte"/>
          <w:rFonts w:ascii="Verdana" w:hAnsi="Verdana" w:cs="Arial"/>
          <w:b w:val="0"/>
          <w:sz w:val="22"/>
          <w:szCs w:val="22"/>
        </w:rPr>
      </w:pPr>
    </w:p>
    <w:p w14:paraId="3F3CE457"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Art.1º.</w:t>
      </w:r>
      <w:r w:rsidRPr="00AC62F6">
        <w:rPr>
          <w:rFonts w:ascii="Verdana" w:hAnsi="Verdana" w:cs="Arial"/>
          <w:sz w:val="22"/>
          <w:szCs w:val="22"/>
        </w:rPr>
        <w:t xml:space="preserve">  São estabelecidas, em cumprimento ao disposto no art. 165, § 2º, da Constituição da República, e na Lei Complementar nº 101, de 04 de maio de 2000, as diretrizes para a elaboração da lei orçamentária do exercício financeiro de 2024, compreendendo:</w:t>
      </w:r>
    </w:p>
    <w:p w14:paraId="1E10BDBE"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034BD73A"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metas e prioridades da Administração Pública Municipal;                          </w:t>
      </w:r>
    </w:p>
    <w:p w14:paraId="0F8C7E33"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orientações</w:t>
      </w:r>
      <w:proofErr w:type="gramEnd"/>
      <w:r w:rsidRPr="00AC62F6">
        <w:rPr>
          <w:rFonts w:ascii="Verdana" w:hAnsi="Verdana" w:cs="Arial"/>
          <w:sz w:val="22"/>
          <w:szCs w:val="22"/>
        </w:rPr>
        <w:t xml:space="preserve"> básicas para elaboração da lei orçamentária anual;              </w:t>
      </w:r>
    </w:p>
    <w:p w14:paraId="1BD231DD"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III – disposições sobre a política de pessoal e serviços extraordinários;</w:t>
      </w:r>
    </w:p>
    <w:p w14:paraId="69CFB2C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disposições</w:t>
      </w:r>
      <w:proofErr w:type="gramEnd"/>
      <w:r w:rsidRPr="00AC62F6">
        <w:rPr>
          <w:rFonts w:ascii="Verdana" w:hAnsi="Verdana" w:cs="Arial"/>
          <w:sz w:val="22"/>
          <w:szCs w:val="22"/>
        </w:rPr>
        <w:t xml:space="preserve"> sobre a receita e alterações na legislação tributária do Município;</w:t>
      </w:r>
    </w:p>
    <w:p w14:paraId="6009EDFB"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V – </w:t>
      </w:r>
      <w:proofErr w:type="gramStart"/>
      <w:r w:rsidRPr="00AC62F6">
        <w:rPr>
          <w:rFonts w:ascii="Verdana" w:hAnsi="Verdana" w:cs="Arial"/>
          <w:sz w:val="22"/>
          <w:szCs w:val="22"/>
        </w:rPr>
        <w:t>equilíbrio</w:t>
      </w:r>
      <w:proofErr w:type="gramEnd"/>
      <w:r w:rsidRPr="00AC62F6">
        <w:rPr>
          <w:rFonts w:ascii="Verdana" w:hAnsi="Verdana" w:cs="Arial"/>
          <w:sz w:val="22"/>
          <w:szCs w:val="22"/>
        </w:rPr>
        <w:t xml:space="preserve"> entre receitas e despesas;</w:t>
      </w:r>
    </w:p>
    <w:p w14:paraId="77FB9BC9"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VI – critérios e formas de limitação de empenho;</w:t>
      </w:r>
    </w:p>
    <w:p w14:paraId="0A94538D"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VII – normas relativas ao controle de custos e a avaliação dos resultados dos programas financiados com recursos dos orçamentos;</w:t>
      </w:r>
    </w:p>
    <w:p w14:paraId="7756007E"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VIII – condições e exigências para transferências de recursos a entidades públicas e privadas;</w:t>
      </w:r>
    </w:p>
    <w:p w14:paraId="395DCB6C"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IX – </w:t>
      </w:r>
      <w:proofErr w:type="gramStart"/>
      <w:r w:rsidRPr="00AC62F6">
        <w:rPr>
          <w:rFonts w:ascii="Verdana" w:hAnsi="Verdana" w:cs="Arial"/>
          <w:sz w:val="22"/>
          <w:szCs w:val="22"/>
        </w:rPr>
        <w:t>autorização</w:t>
      </w:r>
      <w:proofErr w:type="gramEnd"/>
      <w:r w:rsidRPr="00AC62F6">
        <w:rPr>
          <w:rFonts w:ascii="Verdana" w:hAnsi="Verdana" w:cs="Arial"/>
          <w:sz w:val="22"/>
          <w:szCs w:val="22"/>
        </w:rPr>
        <w:t xml:space="preserve"> para o Município auxiliar o custeio de despesas atribuídas a outros entes da federação;</w:t>
      </w:r>
    </w:p>
    <w:p w14:paraId="5E51CC91"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X – </w:t>
      </w:r>
      <w:proofErr w:type="gramStart"/>
      <w:r w:rsidRPr="00AC62F6">
        <w:rPr>
          <w:rFonts w:ascii="Verdana" w:hAnsi="Verdana" w:cs="Arial"/>
          <w:sz w:val="22"/>
          <w:szCs w:val="22"/>
        </w:rPr>
        <w:t>parâmetros</w:t>
      </w:r>
      <w:proofErr w:type="gramEnd"/>
      <w:r w:rsidRPr="00AC62F6">
        <w:rPr>
          <w:rFonts w:ascii="Verdana" w:hAnsi="Verdana" w:cs="Arial"/>
          <w:sz w:val="22"/>
          <w:szCs w:val="22"/>
        </w:rPr>
        <w:t xml:space="preserve"> para a elaboração da programação financeira e do cronograma mensal de desembolso;</w:t>
      </w:r>
    </w:p>
    <w:p w14:paraId="0321CAD2"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XI – definição de critérios para início de novos projetos;</w:t>
      </w:r>
    </w:p>
    <w:p w14:paraId="426E7C3B"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XII – definição das despesas consideradas irrelevantes;</w:t>
      </w:r>
    </w:p>
    <w:p w14:paraId="23A0C82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XIII – incentivo à participação popular;</w:t>
      </w:r>
    </w:p>
    <w:p w14:paraId="6A2ADC5A"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XIV – as disposições gerais.</w:t>
      </w:r>
    </w:p>
    <w:p w14:paraId="09544948" w14:textId="77777777" w:rsidR="00AC62F6" w:rsidRPr="00AC62F6" w:rsidRDefault="00AC62F6" w:rsidP="00AC62F6">
      <w:pPr>
        <w:jc w:val="both"/>
        <w:rPr>
          <w:rStyle w:val="Forte"/>
          <w:rFonts w:ascii="Verdana" w:hAnsi="Verdana" w:cs="Arial"/>
          <w:sz w:val="22"/>
          <w:szCs w:val="22"/>
        </w:rPr>
      </w:pPr>
    </w:p>
    <w:p w14:paraId="018C07CE" w14:textId="77777777" w:rsidR="00AC62F6" w:rsidRPr="00AC62F6" w:rsidRDefault="00AC62F6" w:rsidP="00AC62F6">
      <w:pPr>
        <w:pStyle w:val="Blockquote"/>
        <w:tabs>
          <w:tab w:val="left" w:pos="9356"/>
        </w:tabs>
        <w:spacing w:before="0" w:after="0"/>
        <w:ind w:left="0" w:right="0"/>
        <w:jc w:val="center"/>
        <w:rPr>
          <w:rFonts w:ascii="Verdana" w:hAnsi="Verdana" w:cs="Arial"/>
          <w:b/>
          <w:sz w:val="22"/>
          <w:szCs w:val="22"/>
        </w:rPr>
      </w:pPr>
      <w:r w:rsidRPr="00AC62F6">
        <w:rPr>
          <w:rFonts w:ascii="Verdana" w:hAnsi="Verdana" w:cs="Arial"/>
          <w:b/>
          <w:sz w:val="22"/>
          <w:szCs w:val="22"/>
        </w:rPr>
        <w:t>Capitulo II - Das Metas e Prioridades da Administração Pública Municipal</w:t>
      </w:r>
    </w:p>
    <w:p w14:paraId="74142999" w14:textId="77777777" w:rsidR="00AC62F6" w:rsidRPr="00AC62F6" w:rsidRDefault="00AC62F6" w:rsidP="00AC62F6">
      <w:pPr>
        <w:pStyle w:val="Blockquote"/>
        <w:tabs>
          <w:tab w:val="left" w:pos="9356"/>
        </w:tabs>
        <w:spacing w:before="0" w:after="0"/>
        <w:ind w:left="0" w:right="0"/>
        <w:jc w:val="both"/>
        <w:rPr>
          <w:rStyle w:val="Forte"/>
          <w:rFonts w:ascii="Verdana" w:hAnsi="Verdana" w:cs="Arial"/>
          <w:sz w:val="22"/>
          <w:szCs w:val="22"/>
        </w:rPr>
      </w:pPr>
    </w:p>
    <w:p w14:paraId="448CC287"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2º</w:t>
      </w:r>
      <w:r w:rsidRPr="00AC62F6">
        <w:rPr>
          <w:rFonts w:ascii="Verdana" w:hAnsi="Verdana" w:cs="Arial"/>
          <w:sz w:val="22"/>
          <w:szCs w:val="22"/>
        </w:rPr>
        <w:t xml:space="preserve">. Em consonância com o disposto no art. 165, § 2º, da Constituição da República, atendidas as despesas que constituem obrigação constitucional ou legal do Município, as ações relativas à manutenção e funcionamento dos órgãos da administração direta e das entidades da administração indireta, as </w:t>
      </w:r>
      <w:r w:rsidRPr="00AC62F6">
        <w:rPr>
          <w:rFonts w:ascii="Verdana" w:hAnsi="Verdana" w:cs="Arial"/>
          <w:sz w:val="22"/>
          <w:szCs w:val="22"/>
        </w:rPr>
        <w:lastRenderedPageBreak/>
        <w:t>metas e as prioridades para o exercício financeiro de 2024 correspondem às ações especificadas no Anexo de Metas e Prioridades que integra esta Lei, de acordo com os programas e ações estabelecidos no Plano Plurianual relativo ao período de 2022–2025, as quais terão precedência na alocação de recursos na lei orçamentária de 2024 e na sua execução, não se constituindo, todavia, em limite à programação das despesas.</w:t>
      </w:r>
    </w:p>
    <w:p w14:paraId="670F824B" w14:textId="77777777" w:rsidR="00AC62F6" w:rsidRPr="00AC62F6" w:rsidRDefault="00AC62F6" w:rsidP="00AC62F6">
      <w:pPr>
        <w:jc w:val="both"/>
        <w:rPr>
          <w:rFonts w:ascii="Verdana" w:hAnsi="Verdana" w:cs="Arial"/>
          <w:sz w:val="22"/>
          <w:szCs w:val="22"/>
        </w:rPr>
      </w:pPr>
    </w:p>
    <w:p w14:paraId="59065B80" w14:textId="77777777" w:rsidR="00AC62F6" w:rsidRPr="00AC62F6" w:rsidRDefault="00AC62F6" w:rsidP="00AC62F6">
      <w:pPr>
        <w:jc w:val="both"/>
        <w:rPr>
          <w:rFonts w:ascii="Verdana" w:hAnsi="Verdana" w:cs="Arial"/>
          <w:i/>
          <w:iCs/>
          <w:sz w:val="22"/>
          <w:szCs w:val="22"/>
        </w:rPr>
      </w:pPr>
      <w:r w:rsidRPr="00AC62F6">
        <w:rPr>
          <w:rFonts w:ascii="Verdana" w:hAnsi="Verdana" w:cs="Arial"/>
          <w:sz w:val="22"/>
          <w:szCs w:val="22"/>
        </w:rPr>
        <w:t xml:space="preserve">§ 1º. O projeto de lei orçamentária para 2024 deverá ser elaborado em consonância com as metas e prioridades estabelecidas na forma do </w:t>
      </w:r>
      <w:r w:rsidRPr="00AC62F6">
        <w:rPr>
          <w:rFonts w:ascii="Verdana" w:hAnsi="Verdana" w:cs="Arial"/>
          <w:i/>
          <w:iCs/>
          <w:sz w:val="22"/>
          <w:szCs w:val="22"/>
        </w:rPr>
        <w:t xml:space="preserve">caput </w:t>
      </w:r>
      <w:r w:rsidRPr="00AC62F6">
        <w:rPr>
          <w:rFonts w:ascii="Verdana" w:hAnsi="Verdana" w:cs="Arial"/>
          <w:sz w:val="22"/>
          <w:szCs w:val="22"/>
        </w:rPr>
        <w:t>deste artigo</w:t>
      </w:r>
      <w:r w:rsidRPr="00AC62F6">
        <w:rPr>
          <w:rFonts w:ascii="Verdana" w:hAnsi="Verdana" w:cs="Arial"/>
          <w:i/>
          <w:iCs/>
          <w:sz w:val="22"/>
          <w:szCs w:val="22"/>
        </w:rPr>
        <w:t>.</w:t>
      </w:r>
    </w:p>
    <w:p w14:paraId="63F118B0" w14:textId="77777777" w:rsidR="00AC62F6" w:rsidRPr="00AC62F6" w:rsidRDefault="00AC62F6" w:rsidP="00AC62F6">
      <w:pPr>
        <w:jc w:val="both"/>
        <w:rPr>
          <w:rFonts w:ascii="Verdana" w:hAnsi="Verdana" w:cs="Arial"/>
          <w:i/>
          <w:iCs/>
          <w:sz w:val="22"/>
          <w:szCs w:val="22"/>
        </w:rPr>
      </w:pPr>
      <w:r w:rsidRPr="00AC62F6">
        <w:rPr>
          <w:rFonts w:ascii="Verdana" w:hAnsi="Verdana" w:cs="Arial"/>
          <w:sz w:val="22"/>
          <w:szCs w:val="22"/>
        </w:rPr>
        <w:t xml:space="preserve">§ 2º. O projeto de lei orçamentária para 2024 conterá demonstrativo da observância das metas e prioridades estabelecidas na forma do </w:t>
      </w:r>
      <w:r w:rsidRPr="00AC62F6">
        <w:rPr>
          <w:rFonts w:ascii="Verdana" w:hAnsi="Verdana" w:cs="Arial"/>
          <w:i/>
          <w:iCs/>
          <w:sz w:val="22"/>
          <w:szCs w:val="22"/>
        </w:rPr>
        <w:t xml:space="preserve">caput </w:t>
      </w:r>
      <w:r w:rsidRPr="00AC62F6">
        <w:rPr>
          <w:rFonts w:ascii="Verdana" w:hAnsi="Verdana" w:cs="Arial"/>
          <w:sz w:val="22"/>
          <w:szCs w:val="22"/>
        </w:rPr>
        <w:t>deste artigo</w:t>
      </w:r>
      <w:r w:rsidRPr="00AC62F6">
        <w:rPr>
          <w:rFonts w:ascii="Verdana" w:hAnsi="Verdana" w:cs="Arial"/>
          <w:i/>
          <w:iCs/>
          <w:sz w:val="22"/>
          <w:szCs w:val="22"/>
        </w:rPr>
        <w:t>.</w:t>
      </w:r>
    </w:p>
    <w:p w14:paraId="334CF3F3" w14:textId="77777777" w:rsidR="00AC62F6" w:rsidRPr="00AC62F6" w:rsidRDefault="00AC62F6" w:rsidP="00AC62F6">
      <w:pPr>
        <w:jc w:val="both"/>
        <w:rPr>
          <w:rStyle w:val="Forte"/>
          <w:rFonts w:ascii="Verdana" w:hAnsi="Verdana" w:cs="Arial"/>
          <w:sz w:val="22"/>
          <w:szCs w:val="22"/>
        </w:rPr>
      </w:pPr>
    </w:p>
    <w:p w14:paraId="2A378D37"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 xml:space="preserve">Capítulo III - Das Orientações Básicas </w:t>
      </w:r>
      <w:proofErr w:type="gramStart"/>
      <w:r w:rsidRPr="00AC62F6">
        <w:rPr>
          <w:rFonts w:ascii="Verdana" w:hAnsi="Verdana" w:cs="Arial"/>
          <w:b/>
          <w:sz w:val="22"/>
          <w:szCs w:val="22"/>
        </w:rPr>
        <w:t>para  Elaboração</w:t>
      </w:r>
      <w:proofErr w:type="gramEnd"/>
      <w:r w:rsidRPr="00AC62F6">
        <w:rPr>
          <w:rFonts w:ascii="Verdana" w:hAnsi="Verdana" w:cs="Arial"/>
          <w:b/>
          <w:sz w:val="22"/>
          <w:szCs w:val="22"/>
        </w:rPr>
        <w:t xml:space="preserve"> da Lei Orçamentária Anual</w:t>
      </w:r>
    </w:p>
    <w:p w14:paraId="30314BF3" w14:textId="77777777" w:rsidR="00AC62F6" w:rsidRPr="00AC62F6" w:rsidRDefault="00AC62F6" w:rsidP="00AC62F6">
      <w:pPr>
        <w:pStyle w:val="Blockquote"/>
        <w:tabs>
          <w:tab w:val="left" w:pos="9356"/>
        </w:tabs>
        <w:spacing w:before="0" w:after="0"/>
        <w:ind w:left="0" w:right="6"/>
        <w:jc w:val="center"/>
        <w:rPr>
          <w:rFonts w:ascii="Verdana" w:hAnsi="Verdana" w:cs="Arial"/>
          <w:sz w:val="22"/>
          <w:szCs w:val="22"/>
        </w:rPr>
      </w:pPr>
    </w:p>
    <w:p w14:paraId="6E3B825D"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3º</w:t>
      </w:r>
      <w:r w:rsidRPr="00AC62F6">
        <w:rPr>
          <w:rFonts w:ascii="Verdana" w:hAnsi="Verdana" w:cs="Arial"/>
          <w:sz w:val="22"/>
          <w:szCs w:val="22"/>
        </w:rPr>
        <w:t>.  Em atendimento ao art. 167, VI da Constituição Federal, as categorias de programação de que trata esta Lei serão identificadas por funções, subfunções, programas, atividades, projetos, operações especiais e natureza da despesa, de acordo com as codificações da Portaria SOF nº 42/1999, da Portaria Interministerial STN/SOF nº 163/2001 e da Lei do Plano Plurianual relativo ao período 2022-2025.</w:t>
      </w:r>
    </w:p>
    <w:p w14:paraId="7C0528DC" w14:textId="77777777" w:rsidR="00AC62F6" w:rsidRPr="00AC62F6" w:rsidRDefault="00AC62F6" w:rsidP="00AC62F6">
      <w:pPr>
        <w:jc w:val="both"/>
        <w:rPr>
          <w:rStyle w:val="Forte"/>
          <w:rFonts w:ascii="Verdana" w:hAnsi="Verdana" w:cs="Arial"/>
          <w:sz w:val="22"/>
          <w:szCs w:val="22"/>
        </w:rPr>
      </w:pPr>
    </w:p>
    <w:p w14:paraId="6CFD8285"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4º.</w:t>
      </w:r>
      <w:r w:rsidRPr="00AC62F6">
        <w:rPr>
          <w:rFonts w:ascii="Verdana" w:hAnsi="Verdana" w:cs="Arial"/>
          <w:sz w:val="22"/>
          <w:szCs w:val="22"/>
        </w:rPr>
        <w:t xml:space="preserve"> Os orçamentos fiscal e da seguridade social discriminarão a despesa, no mínimo, por elemento de despesa, conforme art. 15 da Lei nº 4.320/64.</w:t>
      </w:r>
    </w:p>
    <w:p w14:paraId="5485193B" w14:textId="77777777" w:rsidR="00AC62F6" w:rsidRPr="00AC62F6" w:rsidRDefault="00AC62F6" w:rsidP="00AC62F6">
      <w:pPr>
        <w:jc w:val="both"/>
        <w:rPr>
          <w:rFonts w:ascii="Verdana" w:hAnsi="Verdana" w:cs="Arial"/>
          <w:sz w:val="22"/>
          <w:szCs w:val="22"/>
        </w:rPr>
      </w:pPr>
    </w:p>
    <w:p w14:paraId="1125E273"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§1º - especificação da fonte e destinação de recursos: o detalhamento da origem e destinação de recursos definidos pelo Tribunal de Contas do Estado de Minas Gerais, para fins de elaboração da LOA e de prestação de contas por meio do sistema informatizado de contas dos municípios – SICOM. </w:t>
      </w:r>
    </w:p>
    <w:p w14:paraId="756D0C79"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§2º - grupo da origem de fontes de recursos: o agrupamento da origem de fontes de recursos contido na LOA por categoria de programação. </w:t>
      </w:r>
    </w:p>
    <w:p w14:paraId="73846EB9"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§3º - aplicação programada de recursos: o agrupamento das informações por destinação de recursos contida na LOA por categoria de programação.</w:t>
      </w:r>
    </w:p>
    <w:p w14:paraId="3A989748"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§4º - Cada programa identificará as ações necessárias para atingir os seus objetivos, sob a forma de atividades, projetos ou operações especiais, especificando os respectivos valores e metas, bem como as unidades orçamentárias responsáveis pela realização da ação. </w:t>
      </w:r>
    </w:p>
    <w:p w14:paraId="0AF08A8A" w14:textId="77777777" w:rsidR="00AC62F6" w:rsidRPr="00AC62F6" w:rsidRDefault="00AC62F6" w:rsidP="00AC62F6">
      <w:pPr>
        <w:jc w:val="both"/>
        <w:rPr>
          <w:rFonts w:ascii="Verdana" w:hAnsi="Verdana" w:cs="Arial"/>
          <w:sz w:val="22"/>
          <w:szCs w:val="22"/>
        </w:rPr>
      </w:pPr>
    </w:p>
    <w:p w14:paraId="48FF7A64"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5º</w:t>
      </w:r>
      <w:r w:rsidRPr="00AC62F6">
        <w:rPr>
          <w:rFonts w:ascii="Verdana" w:hAnsi="Verdana" w:cs="Arial"/>
          <w:sz w:val="22"/>
          <w:szCs w:val="22"/>
        </w:rPr>
        <w:t>. Os orçamentos fiscal e da seguridade social compreenderão a programação dos Poderes do Município, seus fundos, órgãos, autarquias, devendo a correspondente execução orçamentária e financeira ser consolidada no órgão central da contabilidade do Poder Executivo Municipal.</w:t>
      </w:r>
    </w:p>
    <w:p w14:paraId="0C073941" w14:textId="77777777" w:rsidR="00AC62F6" w:rsidRPr="00AC62F6" w:rsidRDefault="00AC62F6" w:rsidP="00AC62F6">
      <w:pPr>
        <w:jc w:val="both"/>
        <w:rPr>
          <w:rFonts w:ascii="Verdana" w:hAnsi="Verdana" w:cs="Arial"/>
          <w:sz w:val="22"/>
          <w:szCs w:val="22"/>
        </w:rPr>
      </w:pPr>
    </w:p>
    <w:p w14:paraId="0C2C2DCF"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6º.</w:t>
      </w:r>
      <w:r w:rsidRPr="00AC62F6">
        <w:rPr>
          <w:rFonts w:ascii="Verdana" w:hAnsi="Verdana" w:cs="Arial"/>
          <w:sz w:val="22"/>
          <w:szCs w:val="22"/>
        </w:rPr>
        <w:t xml:space="preserve">  O projeto de lei orçamentária que o Poder Executivo encaminhará à Câmara Municipal será constituído de:</w:t>
      </w:r>
    </w:p>
    <w:p w14:paraId="15E624B6"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391B0AA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texto</w:t>
      </w:r>
      <w:proofErr w:type="gramEnd"/>
      <w:r w:rsidRPr="00AC62F6">
        <w:rPr>
          <w:rFonts w:ascii="Verdana" w:hAnsi="Verdana" w:cs="Arial"/>
          <w:sz w:val="22"/>
          <w:szCs w:val="22"/>
        </w:rPr>
        <w:t xml:space="preserve"> da lei;</w:t>
      </w:r>
    </w:p>
    <w:p w14:paraId="5D7536EF"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II – Memória de cálculo de receita e despesa;</w:t>
      </w:r>
    </w:p>
    <w:p w14:paraId="74C94F7B"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lastRenderedPageBreak/>
        <w:t>III – quadros orçamentários consolidados;</w:t>
      </w:r>
    </w:p>
    <w:p w14:paraId="69FB07A9"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anexos</w:t>
      </w:r>
      <w:proofErr w:type="gramEnd"/>
      <w:r w:rsidRPr="00AC62F6">
        <w:rPr>
          <w:rFonts w:ascii="Verdana" w:hAnsi="Verdana" w:cs="Arial"/>
          <w:sz w:val="22"/>
          <w:szCs w:val="22"/>
        </w:rPr>
        <w:t xml:space="preserve"> dos orçamentos fiscal e da seguridade social, discriminando a receita e a despesa na forma definida nesta Lei;</w:t>
      </w:r>
    </w:p>
    <w:p w14:paraId="5E61C079"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V – </w:t>
      </w:r>
      <w:proofErr w:type="gramStart"/>
      <w:r w:rsidRPr="00AC62F6">
        <w:rPr>
          <w:rFonts w:ascii="Verdana" w:hAnsi="Verdana" w:cs="Arial"/>
          <w:sz w:val="22"/>
          <w:szCs w:val="22"/>
        </w:rPr>
        <w:t>demonstrativos</w:t>
      </w:r>
      <w:proofErr w:type="gramEnd"/>
      <w:r w:rsidRPr="00AC62F6">
        <w:rPr>
          <w:rFonts w:ascii="Verdana" w:hAnsi="Verdana" w:cs="Arial"/>
          <w:sz w:val="22"/>
          <w:szCs w:val="22"/>
        </w:rPr>
        <w:t xml:space="preserve"> e documentos previstos no art. 5º da Lei Complementar nº 101/2000.</w:t>
      </w:r>
    </w:p>
    <w:p w14:paraId="6721D93E"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1897FFF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Parágrafo único. Acompanharão a proposta orçamentária, além dos demonstrativos exigidos pela legislação em vigor, definidos no </w:t>
      </w:r>
      <w:r w:rsidRPr="00AC62F6">
        <w:rPr>
          <w:rFonts w:ascii="Verdana" w:hAnsi="Verdana" w:cs="Arial"/>
          <w:i/>
          <w:iCs/>
          <w:sz w:val="22"/>
          <w:szCs w:val="22"/>
        </w:rPr>
        <w:t>caput</w:t>
      </w:r>
      <w:r w:rsidRPr="00AC62F6">
        <w:rPr>
          <w:rFonts w:ascii="Verdana" w:hAnsi="Verdana" w:cs="Arial"/>
          <w:sz w:val="22"/>
          <w:szCs w:val="22"/>
        </w:rPr>
        <w:t>, os seguintes demonstrativos:</w:t>
      </w:r>
    </w:p>
    <w:p w14:paraId="1A432B14"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1DD86646"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 – Demonstrativo da receita corrente líquida, de acordo com o art. 2º, inciso IV da Lei Complementar nº 101/2000;</w:t>
      </w:r>
    </w:p>
    <w:p w14:paraId="11D85443"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II – Demonstrativo dos recursos a serem aplicados na manutenção e desenvolvimento do ensino e no ensino fundamental, para fins do atendimento do disposto no art. 212 da Constituição da República e no art. 60 do Ato das Disposições Constitucionais Transitórias;</w:t>
      </w:r>
    </w:p>
    <w:p w14:paraId="33255719"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III – Demonstrativo dos recursos a serem aplicados no FUNDEB – Fundo de Manutenção e Desenvolvimento da Educação Básica e de Valorização dos profissionais da Educação, para fins do atendimento ao art. 60 do ADCT, com as alterações introduzidas pela Emenda Constitucional nº 53/2006;</w:t>
      </w:r>
    </w:p>
    <w:p w14:paraId="3A8B1BDF"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IV – Demonstrativo dos recursos a serem aplicados nas ações e serviços públicos de saúde, para fins do atendimento disposto na Emenda Constitucional nº 29/2000;</w:t>
      </w:r>
    </w:p>
    <w:p w14:paraId="05B8FFE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V – Demonstrativo da despesa com pessoal, para fins do atendimento do disposto no art. 169 da Constituição da República e na Lei Complementar nº 101/2000.</w:t>
      </w:r>
    </w:p>
    <w:p w14:paraId="253EC64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74490E1E"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7º.</w:t>
      </w:r>
      <w:r w:rsidRPr="00AC62F6">
        <w:rPr>
          <w:rFonts w:ascii="Verdana" w:hAnsi="Verdana" w:cs="Arial"/>
          <w:sz w:val="22"/>
          <w:szCs w:val="22"/>
        </w:rPr>
        <w:t xml:space="preserve"> A estimativa da receita e a fixação da despesa, constantes do projeto de lei orçamentária de </w:t>
      </w:r>
      <w:proofErr w:type="gramStart"/>
      <w:r w:rsidRPr="00AC62F6">
        <w:rPr>
          <w:rFonts w:ascii="Verdana" w:hAnsi="Verdana" w:cs="Arial"/>
          <w:sz w:val="22"/>
          <w:szCs w:val="22"/>
        </w:rPr>
        <w:t>2024,  será</w:t>
      </w:r>
      <w:proofErr w:type="gramEnd"/>
      <w:r w:rsidRPr="00AC62F6">
        <w:rPr>
          <w:rFonts w:ascii="Verdana" w:hAnsi="Verdana" w:cs="Arial"/>
          <w:sz w:val="22"/>
          <w:szCs w:val="22"/>
        </w:rPr>
        <w:t xml:space="preserve"> elaborada  a valores correntes do exercício de 2023, projetados ao exercício a que se refere.</w:t>
      </w:r>
    </w:p>
    <w:p w14:paraId="31AF98E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388A71A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Parágrafo único. O projeto de lei orçamentária atualizará a estimativa da margem de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w:t>
      </w:r>
    </w:p>
    <w:p w14:paraId="3237A874"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1C46433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8º</w:t>
      </w:r>
      <w:r w:rsidRPr="00AC62F6">
        <w:rPr>
          <w:rFonts w:ascii="Verdana" w:hAnsi="Verdana" w:cs="Arial"/>
          <w:sz w:val="22"/>
          <w:szCs w:val="22"/>
        </w:rPr>
        <w:t>. O Poder Legislativo e as entidades da Administração indireta encaminharão ao setor de Contabilidade do Poder Executivo até o dia 15 de junho de 2023 as suas respectivas propostas orçamentárias, para fins de consolidação do projeto de lei orçamentária.</w:t>
      </w:r>
    </w:p>
    <w:p w14:paraId="4E8E0726"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39B5190B"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9º</w:t>
      </w:r>
      <w:r w:rsidRPr="00AC62F6">
        <w:rPr>
          <w:rFonts w:ascii="Verdana" w:hAnsi="Verdana" w:cs="Arial"/>
          <w:sz w:val="22"/>
          <w:szCs w:val="22"/>
        </w:rPr>
        <w:t>.  Na programação da despesa não poderão ser fixadas despesas sem que estejam definidas as respectivas fontes de recursos, de forma a evitar o comprometimento do equilíbrio orçamentário entre a receita e a despesa.</w:t>
      </w:r>
    </w:p>
    <w:p w14:paraId="738E8579" w14:textId="77777777" w:rsidR="00AC62F6" w:rsidRPr="00AC62F6" w:rsidRDefault="00AC62F6" w:rsidP="00AC62F6">
      <w:pPr>
        <w:jc w:val="both"/>
        <w:rPr>
          <w:rStyle w:val="Forte"/>
          <w:rFonts w:ascii="Verdana" w:hAnsi="Verdana" w:cs="Arial"/>
          <w:sz w:val="22"/>
          <w:szCs w:val="22"/>
        </w:rPr>
      </w:pPr>
    </w:p>
    <w:p w14:paraId="3DA361ED"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10</w:t>
      </w:r>
      <w:r w:rsidRPr="00AC62F6">
        <w:rPr>
          <w:rFonts w:ascii="Verdana" w:hAnsi="Verdana" w:cs="Arial"/>
          <w:sz w:val="22"/>
          <w:szCs w:val="22"/>
        </w:rPr>
        <w:t xml:space="preserve">. A lei orçamentária discriminará, nos órgãos da administração direta e nas entidades da administração indireta responsáveis pelo débito, as </w:t>
      </w:r>
      <w:r w:rsidRPr="00AC62F6">
        <w:rPr>
          <w:rFonts w:ascii="Verdana" w:hAnsi="Verdana" w:cs="Arial"/>
          <w:sz w:val="22"/>
          <w:szCs w:val="22"/>
        </w:rPr>
        <w:lastRenderedPageBreak/>
        <w:t xml:space="preserve">dotações destinadas ao pagamento de precatórios judiciais em cumprimento ao disposto no art. 100 da Constituição da República. </w:t>
      </w:r>
    </w:p>
    <w:p w14:paraId="3FF09B63"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0C85FA16"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1º.  Para fins de acompanhamento, controle e centralização, a Procuradoria Municipal, a Câmara e a entidade da administração indireta encaminharão as informações referentes aos processos de pagamento de precatórios para a Contabilidade Municipal até o dia 15 de junho de 2023.</w:t>
      </w:r>
    </w:p>
    <w:p w14:paraId="0AD7DEA9" w14:textId="77777777" w:rsidR="00AC62F6" w:rsidRPr="00AC62F6" w:rsidRDefault="00AC62F6" w:rsidP="00AC62F6">
      <w:pPr>
        <w:jc w:val="both"/>
        <w:rPr>
          <w:rFonts w:ascii="Verdana" w:hAnsi="Verdana" w:cs="Arial"/>
          <w:sz w:val="22"/>
          <w:szCs w:val="22"/>
        </w:rPr>
      </w:pPr>
    </w:p>
    <w:p w14:paraId="1685A382"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 2º. Os recursos alocados para os fins previstos no </w:t>
      </w:r>
      <w:r w:rsidRPr="00AC62F6">
        <w:rPr>
          <w:rFonts w:ascii="Verdana" w:hAnsi="Verdana" w:cs="Arial"/>
          <w:i/>
          <w:iCs/>
          <w:sz w:val="22"/>
          <w:szCs w:val="22"/>
        </w:rPr>
        <w:t>caput</w:t>
      </w:r>
      <w:r w:rsidRPr="00AC62F6">
        <w:rPr>
          <w:rFonts w:ascii="Verdana" w:hAnsi="Verdana" w:cs="Arial"/>
          <w:sz w:val="22"/>
          <w:szCs w:val="22"/>
        </w:rPr>
        <w:t xml:space="preserve"> deste artigo não poderão ser cancelados para abertura de créditos adicionais com outra finalidade, exceto no caso de saldo orçamentário remanescente ocioso.</w:t>
      </w:r>
    </w:p>
    <w:p w14:paraId="1FDE68DA" w14:textId="77777777" w:rsidR="00AC62F6" w:rsidRPr="00AC62F6" w:rsidRDefault="00AC62F6" w:rsidP="00AC62F6">
      <w:pPr>
        <w:jc w:val="both"/>
        <w:rPr>
          <w:rStyle w:val="Forte"/>
          <w:rFonts w:ascii="Verdana" w:hAnsi="Verdana" w:cs="Arial"/>
          <w:sz w:val="22"/>
          <w:szCs w:val="22"/>
        </w:rPr>
      </w:pPr>
    </w:p>
    <w:p w14:paraId="326936A2"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IV - Das Disposições Relativas à Dívida e ao Endividamento Público Municipal</w:t>
      </w:r>
    </w:p>
    <w:p w14:paraId="0961AA9D"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p>
    <w:p w14:paraId="02DB00A3"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r w:rsidRPr="00AC62F6">
        <w:rPr>
          <w:rFonts w:ascii="Verdana" w:hAnsi="Verdana" w:cs="Arial"/>
          <w:b/>
          <w:bCs/>
          <w:sz w:val="22"/>
          <w:szCs w:val="22"/>
        </w:rPr>
        <w:t>Art. 11</w:t>
      </w:r>
      <w:r w:rsidRPr="00AC62F6">
        <w:rPr>
          <w:rFonts w:ascii="Verdana" w:hAnsi="Verdana" w:cs="Arial"/>
          <w:sz w:val="22"/>
          <w:szCs w:val="22"/>
        </w:rPr>
        <w:t>. A administração da dívida pública municipal interna tem por objetivo principal minimizar custos, reduzir o montante da dívida pública e viabilizar fontes alternativas de recursos para o Tesouro Municipal.</w:t>
      </w:r>
    </w:p>
    <w:p w14:paraId="26B41827"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r w:rsidRPr="00AC62F6">
        <w:rPr>
          <w:rFonts w:ascii="Verdana" w:hAnsi="Verdana" w:cs="Arial"/>
          <w:sz w:val="22"/>
          <w:szCs w:val="22"/>
        </w:rPr>
        <w:t xml:space="preserve">§ 1º. Deverão ser garantidos, na lei orçamentária, os recursos necessários para pagamento da dívida consolidada. </w:t>
      </w:r>
    </w:p>
    <w:p w14:paraId="660F46B7"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p>
    <w:p w14:paraId="7318D450"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r w:rsidRPr="00AC62F6">
        <w:rPr>
          <w:rFonts w:ascii="Verdana" w:hAnsi="Verdana" w:cs="Arial"/>
          <w:sz w:val="22"/>
          <w:szCs w:val="22"/>
        </w:rPr>
        <w:t>§ 2º. O Município, através de seus órgãos e entidades, subordinar-se-á às normas estabelecidas na Resolução nº 40/2001 do Senado Federal, que dispõe sobre os limites globais para o montante da dívida pública consolidada e da dívida pública mobiliária, em atendimento ao disposto no art. 52, incisos VI e IX, da Constituição da República.</w:t>
      </w:r>
    </w:p>
    <w:p w14:paraId="1A95E83E"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p>
    <w:p w14:paraId="03FB4AA6"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r w:rsidRPr="00AC62F6">
        <w:rPr>
          <w:rFonts w:ascii="Verdana" w:hAnsi="Verdana" w:cs="Arial"/>
          <w:b/>
          <w:bCs/>
          <w:sz w:val="22"/>
          <w:szCs w:val="22"/>
        </w:rPr>
        <w:t>Art. 12.</w:t>
      </w:r>
      <w:r w:rsidRPr="00AC62F6">
        <w:rPr>
          <w:rFonts w:ascii="Verdana" w:hAnsi="Verdana" w:cs="Arial"/>
          <w:sz w:val="22"/>
          <w:szCs w:val="22"/>
        </w:rPr>
        <w:t xml:space="preserve"> Na lei orçamentária para o exercício de 2024, as despesas com amortização, juros e demais encargos da dívida serão fixadas com base nas operações contratadas e a contratar.</w:t>
      </w:r>
    </w:p>
    <w:p w14:paraId="5A6B77A7" w14:textId="77777777" w:rsidR="00AC62F6" w:rsidRPr="00AC62F6" w:rsidRDefault="00AC62F6" w:rsidP="00AC62F6">
      <w:pPr>
        <w:pStyle w:val="Preformatted"/>
        <w:tabs>
          <w:tab w:val="clear" w:pos="6713"/>
          <w:tab w:val="clear" w:pos="7672"/>
          <w:tab w:val="left" w:pos="7938"/>
        </w:tabs>
        <w:jc w:val="both"/>
        <w:rPr>
          <w:rFonts w:ascii="Verdana" w:hAnsi="Verdana" w:cs="Arial"/>
          <w:sz w:val="22"/>
          <w:szCs w:val="22"/>
        </w:rPr>
      </w:pPr>
    </w:p>
    <w:p w14:paraId="67DA2818"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13</w:t>
      </w:r>
      <w:r w:rsidRPr="00AC62F6">
        <w:rPr>
          <w:rFonts w:ascii="Verdana" w:hAnsi="Verdana" w:cs="Arial"/>
          <w:sz w:val="22"/>
          <w:szCs w:val="22"/>
        </w:rPr>
        <w:t>. A lei orçamentária poderá conter autorização para contratação de operações de crédito pelo Poder Executivo, a qual ficará condicionada ao atendimento das normas estabelecidas na Lei Complementar nº 101/2000 e na Resolução nº 43/2001 do Senado Federal.</w:t>
      </w:r>
    </w:p>
    <w:p w14:paraId="3741062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54969D93"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14</w:t>
      </w:r>
      <w:r w:rsidRPr="00AC62F6">
        <w:rPr>
          <w:rFonts w:ascii="Verdana" w:hAnsi="Verdana" w:cs="Arial"/>
          <w:sz w:val="22"/>
          <w:szCs w:val="22"/>
        </w:rPr>
        <w:t>. A lei orçamentária poderá conter autorização para a realização de operações de crédito por antecipação de receita orçamentária, desde que observado o disposto no art. 38 da Lei Complementar nº 101/2000 e atendidas as exigências estabelecidas na Resolução nº 43/2001 do Senado Federal.</w:t>
      </w:r>
    </w:p>
    <w:p w14:paraId="3127F73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654367D2"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15.</w:t>
      </w:r>
      <w:r w:rsidRPr="00AC62F6">
        <w:rPr>
          <w:rFonts w:ascii="Verdana" w:hAnsi="Verdana" w:cs="Arial"/>
          <w:sz w:val="22"/>
          <w:szCs w:val="22"/>
        </w:rPr>
        <w:t xml:space="preserve">  A lei orçamentária conterá reserva de contingência constituída exclusivamente com recursos do orçamento fiscal e será equivalente a, no mínimo, 0,5% (meio por cento) da receita corrente líquida prevista na proposta orçamentária de 2024, destinada atendimento de passivos contingentes, outros riscos e eventos fiscais imprevistos e reforço das dotações orçamentárias que se tornarem insuficientes.</w:t>
      </w:r>
    </w:p>
    <w:p w14:paraId="65F2CCA3"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2EA171E4"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p>
    <w:p w14:paraId="029B0828"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lastRenderedPageBreak/>
        <w:t>Capítulo V - Das Disposições Sobre Política de Pessoal e Encargos Sociais</w:t>
      </w:r>
    </w:p>
    <w:p w14:paraId="10948F38" w14:textId="77777777" w:rsidR="00AC62F6" w:rsidRPr="00AC62F6" w:rsidRDefault="00AC62F6" w:rsidP="00AC62F6">
      <w:pPr>
        <w:pStyle w:val="Blockquote"/>
        <w:tabs>
          <w:tab w:val="left" w:pos="9356"/>
        </w:tabs>
        <w:spacing w:before="0" w:after="0"/>
        <w:ind w:left="0" w:right="6"/>
        <w:jc w:val="center"/>
        <w:rPr>
          <w:rFonts w:ascii="Verdana" w:hAnsi="Verdana" w:cs="Arial"/>
          <w:sz w:val="22"/>
          <w:szCs w:val="22"/>
        </w:rPr>
      </w:pPr>
    </w:p>
    <w:p w14:paraId="2E47230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16</w:t>
      </w:r>
      <w:r w:rsidRPr="00AC62F6">
        <w:rPr>
          <w:rFonts w:ascii="Verdana" w:hAnsi="Verdana" w:cs="Arial"/>
          <w:sz w:val="22"/>
          <w:szCs w:val="22"/>
        </w:rPr>
        <w:t>.  Para fins de atendimento ao disposto no art. 169, § 1º, inciso II, da Constituição da República, observado o inciso I do mesmo parágrafo, ficam autorizadas as concessões de quaisquer vantagens, aumentos de remuneração, criação de cargos, empregos e funções, alterações de estrutura de carreiras, bem como admissões ou contratações de pessoal a qualquer título, desde que observado o disposto nos artigos 15, 16 e 17 da Lei Complementar nº 101/2000.</w:t>
      </w:r>
    </w:p>
    <w:p w14:paraId="7A177930"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719128BC"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 1º. Além de observar as normas do </w:t>
      </w:r>
      <w:r w:rsidRPr="00AC62F6">
        <w:rPr>
          <w:rFonts w:ascii="Verdana" w:hAnsi="Verdana" w:cs="Arial"/>
          <w:i/>
          <w:iCs/>
          <w:sz w:val="22"/>
          <w:szCs w:val="22"/>
        </w:rPr>
        <w:t>caput</w:t>
      </w:r>
      <w:r w:rsidRPr="00AC62F6">
        <w:rPr>
          <w:rFonts w:ascii="Verdana" w:hAnsi="Verdana" w:cs="Arial"/>
          <w:sz w:val="22"/>
          <w:szCs w:val="22"/>
        </w:rPr>
        <w:t>, no exercício financeiro de 2024 as despesas com pessoal dos Poderes Executivo e Legislativo deverão atender as disposições contidas nos artigos 18, 19 e 20 da Lei Complementar nº 101/2000.</w:t>
      </w:r>
    </w:p>
    <w:p w14:paraId="68D4AFB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2656C8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2º. Se a despesa total com pessoal ultrapassar os limites estabelecidos no art. 19 da Lei Complementar nº 101/2000, serão adotadas as medidas de que tratam os §§ 3º e 4º do art. 169 da Constituição da República.</w:t>
      </w:r>
    </w:p>
    <w:p w14:paraId="48012C3E"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700B1F03"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 3º. Fica autorizada a revisão geral das remunerações, subsídios, proventos e pensões dos servidores ativos e inativos dos Poderes Executivo e Legislativo, e da autarquia municipal, cujo percentual será definido em lei específica. </w:t>
      </w:r>
    </w:p>
    <w:p w14:paraId="75B1A3C8"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3AE52CDD"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Capitulo VI - Da Previsão para Contratação Excepcional de Horas Extras</w:t>
      </w:r>
    </w:p>
    <w:p w14:paraId="04F6E1D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E42E0DB"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b/>
          <w:bCs/>
          <w:sz w:val="22"/>
          <w:szCs w:val="22"/>
        </w:rPr>
        <w:t>Art. 17</w:t>
      </w:r>
      <w:r w:rsidRPr="00AC62F6">
        <w:rPr>
          <w:rFonts w:ascii="Verdana" w:hAnsi="Verdana" w:cs="Arial"/>
          <w:sz w:val="22"/>
          <w:szCs w:val="22"/>
        </w:rPr>
        <w:t>.  Se durante o exercício de 2024 a despesa com pessoal atingir o limite de que trata o parágrafo único do art. 22 da Lei Complementar nº 101/2000, o pagamento da realização de serviço extraordinário somente poderá ocorrer quando destinada ao atendimento de relevante interesse público que ensejem situações emergenciais de risco ou de prejuízo para a sociedade.</w:t>
      </w:r>
    </w:p>
    <w:p w14:paraId="36B8ECAE"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6F5C8EB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Parágrafo único. A autorização para a realização de serviço extraordinário para atender as situações previstas no </w:t>
      </w:r>
      <w:r w:rsidRPr="00AC62F6">
        <w:rPr>
          <w:rFonts w:ascii="Verdana" w:hAnsi="Verdana" w:cs="Arial"/>
          <w:i/>
          <w:iCs/>
          <w:sz w:val="22"/>
          <w:szCs w:val="22"/>
        </w:rPr>
        <w:t>caput</w:t>
      </w:r>
      <w:r w:rsidRPr="00AC62F6">
        <w:rPr>
          <w:rFonts w:ascii="Verdana" w:hAnsi="Verdana" w:cs="Arial"/>
          <w:sz w:val="22"/>
          <w:szCs w:val="22"/>
        </w:rPr>
        <w:t xml:space="preserve"> deste artigo, no âmbito do Poder Executivo é de exclusiva competência do Prefeito Municipal) e no âmbito do Poder Legislativo é de exclusiva competência do Presidente da Câmara.</w:t>
      </w:r>
    </w:p>
    <w:p w14:paraId="4CDD36CA"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p>
    <w:p w14:paraId="5D8BB188"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VII - Das Disposições Sobre a Receita e Alterações na Legislação Tributária do Município</w:t>
      </w:r>
    </w:p>
    <w:p w14:paraId="5326998E"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ADDACB0"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18</w:t>
      </w:r>
      <w:r w:rsidRPr="00AC62F6">
        <w:rPr>
          <w:rFonts w:ascii="Verdana" w:hAnsi="Verdana" w:cs="Arial"/>
          <w:sz w:val="22"/>
          <w:szCs w:val="22"/>
        </w:rPr>
        <w:t>. A estimativa da receita que constará do projeto de lei orçamentária para o exercício de 2024, com vistas à expansão da base tributária e consequente aumento das receitas próprias, contemplará medidas de aperfeiçoamento da administração dos tributos municipais, dentre as quais:</w:t>
      </w:r>
    </w:p>
    <w:p w14:paraId="7536961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4A287BAB"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lastRenderedPageBreak/>
        <w:t xml:space="preserve">I – </w:t>
      </w:r>
      <w:proofErr w:type="gramStart"/>
      <w:r w:rsidRPr="00AC62F6">
        <w:rPr>
          <w:rFonts w:ascii="Verdana" w:hAnsi="Verdana" w:cs="Arial"/>
          <w:sz w:val="22"/>
          <w:szCs w:val="22"/>
        </w:rPr>
        <w:t>aperfeiçoamento</w:t>
      </w:r>
      <w:proofErr w:type="gramEnd"/>
      <w:r w:rsidRPr="00AC62F6">
        <w:rPr>
          <w:rFonts w:ascii="Verdana" w:hAnsi="Verdana" w:cs="Arial"/>
          <w:sz w:val="22"/>
          <w:szCs w:val="22"/>
        </w:rPr>
        <w:t xml:space="preserve"> do sistema de formação, tramitação e julgamento dos processos tributário-administrativos, visando à racionalização, simplificação e agilização;</w:t>
      </w:r>
    </w:p>
    <w:p w14:paraId="0E1D3973"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II </w:t>
      </w:r>
      <w:proofErr w:type="gramStart"/>
      <w:r w:rsidRPr="00AC62F6">
        <w:rPr>
          <w:rFonts w:ascii="Verdana" w:hAnsi="Verdana" w:cs="Arial"/>
          <w:sz w:val="22"/>
          <w:szCs w:val="22"/>
        </w:rPr>
        <w:t>–  aperfeiçoamento</w:t>
      </w:r>
      <w:proofErr w:type="gramEnd"/>
      <w:r w:rsidRPr="00AC62F6">
        <w:rPr>
          <w:rFonts w:ascii="Verdana" w:hAnsi="Verdana" w:cs="Arial"/>
          <w:sz w:val="22"/>
          <w:szCs w:val="22"/>
        </w:rPr>
        <w:t xml:space="preserve"> dos sistemas de fiscalização, cobrança e arrecadação de tributos, objetivando a sua maior exatidão;</w:t>
      </w:r>
    </w:p>
    <w:p w14:paraId="12319A97"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III – aperfeiçoamento dos processos tributário-administrativos, por meio da revisão e racionalização das rotinas e processos, objetivando a modernização, a padronização de atividades, a melhoria dos controles internos e a eficiência na prestação de serviços;</w:t>
      </w:r>
    </w:p>
    <w:p w14:paraId="140453F9"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aplicação</w:t>
      </w:r>
      <w:proofErr w:type="gramEnd"/>
      <w:r w:rsidRPr="00AC62F6">
        <w:rPr>
          <w:rFonts w:ascii="Verdana" w:hAnsi="Verdana" w:cs="Arial"/>
          <w:sz w:val="22"/>
          <w:szCs w:val="22"/>
        </w:rPr>
        <w:t xml:space="preserve"> das penalidades fiscais como instrumento inibitório da prática de infração da legislação tributária.</w:t>
      </w:r>
    </w:p>
    <w:p w14:paraId="0516250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3D96CEB7"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 </w:t>
      </w:r>
      <w:r w:rsidRPr="00AC62F6">
        <w:rPr>
          <w:rFonts w:ascii="Verdana" w:hAnsi="Verdana" w:cs="Arial"/>
          <w:b/>
          <w:bCs/>
          <w:sz w:val="22"/>
          <w:szCs w:val="22"/>
        </w:rPr>
        <w:t>Art. 19</w:t>
      </w:r>
      <w:r w:rsidRPr="00AC62F6">
        <w:rPr>
          <w:rFonts w:ascii="Verdana" w:hAnsi="Verdana" w:cs="Arial"/>
          <w:sz w:val="22"/>
          <w:szCs w:val="22"/>
        </w:rPr>
        <w:t>. A estimativa da receita de que trata o artigo anterior levará em consideração, adicionalmente, o impacto de alteração na legislação tributária, com destaque para:</w:t>
      </w:r>
    </w:p>
    <w:p w14:paraId="5D85082A"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53970A40"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atualização</w:t>
      </w:r>
      <w:proofErr w:type="gramEnd"/>
      <w:r w:rsidRPr="00AC62F6">
        <w:rPr>
          <w:rFonts w:ascii="Verdana" w:hAnsi="Verdana" w:cs="Arial"/>
          <w:sz w:val="22"/>
          <w:szCs w:val="22"/>
        </w:rPr>
        <w:t xml:space="preserve"> da planta genérica de valores do Município;</w:t>
      </w:r>
    </w:p>
    <w:p w14:paraId="64710EAB"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revisão, atualização ou adequação</w:t>
      </w:r>
      <w:proofErr w:type="gramEnd"/>
      <w:r w:rsidRPr="00AC62F6">
        <w:rPr>
          <w:rFonts w:ascii="Verdana" w:hAnsi="Verdana" w:cs="Arial"/>
          <w:sz w:val="22"/>
          <w:szCs w:val="22"/>
        </w:rPr>
        <w:t xml:space="preserve"> da legislação sobre Imposto Predial e Territorial Urbano, suas alíquotas, forma de cálculo, condições de pagamentos, descontos e isenções, inclusive com relação à progressividade deste imposto;</w:t>
      </w:r>
    </w:p>
    <w:p w14:paraId="604C92A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III – revisão da legislação sobre o uso do solo, com redefinição dos limites da zona urbana municipal;</w:t>
      </w:r>
    </w:p>
    <w:p w14:paraId="74A31D6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revisão</w:t>
      </w:r>
      <w:proofErr w:type="gramEnd"/>
      <w:r w:rsidRPr="00AC62F6">
        <w:rPr>
          <w:rFonts w:ascii="Verdana" w:hAnsi="Verdana" w:cs="Arial"/>
          <w:sz w:val="22"/>
          <w:szCs w:val="22"/>
        </w:rPr>
        <w:t xml:space="preserve"> da legislação referente ao Imposto Sobre Serviços de Qualquer Natureza;</w:t>
      </w:r>
    </w:p>
    <w:p w14:paraId="30AB1716"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V – </w:t>
      </w:r>
      <w:proofErr w:type="gramStart"/>
      <w:r w:rsidRPr="00AC62F6">
        <w:rPr>
          <w:rFonts w:ascii="Verdana" w:hAnsi="Verdana" w:cs="Arial"/>
          <w:sz w:val="22"/>
          <w:szCs w:val="22"/>
        </w:rPr>
        <w:t>revisão</w:t>
      </w:r>
      <w:proofErr w:type="gramEnd"/>
      <w:r w:rsidRPr="00AC62F6">
        <w:rPr>
          <w:rFonts w:ascii="Verdana" w:hAnsi="Verdana" w:cs="Arial"/>
          <w:sz w:val="22"/>
          <w:szCs w:val="22"/>
        </w:rPr>
        <w:t xml:space="preserve"> da legislação aplicável ao Imposto sobre Transmissão Intervivos de Bens Imóveis e de Direitos Reais sobre Imóveis;</w:t>
      </w:r>
    </w:p>
    <w:p w14:paraId="2EA182C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VI – </w:t>
      </w:r>
      <w:proofErr w:type="gramStart"/>
      <w:r w:rsidRPr="00AC62F6">
        <w:rPr>
          <w:rFonts w:ascii="Verdana" w:hAnsi="Verdana" w:cs="Arial"/>
          <w:sz w:val="22"/>
          <w:szCs w:val="22"/>
        </w:rPr>
        <w:t>instituição</w:t>
      </w:r>
      <w:proofErr w:type="gramEnd"/>
      <w:r w:rsidRPr="00AC62F6">
        <w:rPr>
          <w:rFonts w:ascii="Verdana" w:hAnsi="Verdana" w:cs="Arial"/>
          <w:sz w:val="22"/>
          <w:szCs w:val="22"/>
        </w:rPr>
        <w:t xml:space="preserve"> de taxas pela utilização efetiva ou potencial de serviços públicos específicos e divisíveis, prestados ao contribuinte ou postos </w:t>
      </w:r>
      <w:proofErr w:type="spellStart"/>
      <w:r w:rsidRPr="00AC62F6">
        <w:rPr>
          <w:rFonts w:ascii="Verdana" w:hAnsi="Verdana" w:cs="Arial"/>
          <w:sz w:val="22"/>
          <w:szCs w:val="22"/>
        </w:rPr>
        <w:t>a</w:t>
      </w:r>
      <w:proofErr w:type="spellEnd"/>
      <w:r w:rsidRPr="00AC62F6">
        <w:rPr>
          <w:rFonts w:ascii="Verdana" w:hAnsi="Verdana" w:cs="Arial"/>
          <w:sz w:val="22"/>
          <w:szCs w:val="22"/>
        </w:rPr>
        <w:t xml:space="preserve"> sua disposição;</w:t>
      </w:r>
    </w:p>
    <w:p w14:paraId="0522F9B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VII – revisão da legislação sobre as taxas pelo exercício do poder de polícia;</w:t>
      </w:r>
    </w:p>
    <w:p w14:paraId="29D1B645"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VIII – revisão das isenções dos tributos municipais, para manter o interesse público e a justiça fiscal;</w:t>
      </w:r>
    </w:p>
    <w:p w14:paraId="6D4A4D0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IX – </w:t>
      </w:r>
      <w:proofErr w:type="gramStart"/>
      <w:r w:rsidRPr="00AC62F6">
        <w:rPr>
          <w:rFonts w:ascii="Verdana" w:hAnsi="Verdana" w:cs="Arial"/>
          <w:sz w:val="22"/>
          <w:szCs w:val="22"/>
        </w:rPr>
        <w:t>instituição</w:t>
      </w:r>
      <w:proofErr w:type="gramEnd"/>
      <w:r w:rsidRPr="00AC62F6">
        <w:rPr>
          <w:rFonts w:ascii="Verdana" w:hAnsi="Verdana" w:cs="Arial"/>
          <w:sz w:val="22"/>
          <w:szCs w:val="22"/>
        </w:rPr>
        <w:t>, por lei específica, da Contribuição de Melhoria com a finalidade de tornar exequível a sua cobrança;</w:t>
      </w:r>
    </w:p>
    <w:p w14:paraId="567A0F2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X – </w:t>
      </w:r>
      <w:proofErr w:type="gramStart"/>
      <w:r w:rsidRPr="00AC62F6">
        <w:rPr>
          <w:rFonts w:ascii="Verdana" w:hAnsi="Verdana" w:cs="Arial"/>
          <w:sz w:val="22"/>
          <w:szCs w:val="22"/>
        </w:rPr>
        <w:t>a</w:t>
      </w:r>
      <w:proofErr w:type="gramEnd"/>
      <w:r w:rsidRPr="00AC62F6">
        <w:rPr>
          <w:rFonts w:ascii="Verdana" w:hAnsi="Verdana" w:cs="Arial"/>
          <w:sz w:val="22"/>
          <w:szCs w:val="22"/>
        </w:rPr>
        <w:t xml:space="preserve"> instituição de novos tributos ou a modificação, em decorrência de alterações legais, daqueles já instituídos. </w:t>
      </w:r>
    </w:p>
    <w:p w14:paraId="23A571D7"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1D0D10E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20</w:t>
      </w:r>
      <w:r w:rsidRPr="00AC62F6">
        <w:rPr>
          <w:rFonts w:ascii="Verdana" w:hAnsi="Verdana" w:cs="Arial"/>
          <w:sz w:val="22"/>
          <w:szCs w:val="22"/>
        </w:rPr>
        <w:t>. O projeto de lei que conceda ou amplie incentivo ou benefício de natureza tributária somente será aprovado se atendidas as exigências do art. 14 da Lei Complementar nº 101/2000.</w:t>
      </w:r>
    </w:p>
    <w:p w14:paraId="194F73C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18192955"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21</w:t>
      </w:r>
      <w:r w:rsidRPr="00AC62F6">
        <w:rPr>
          <w:rFonts w:ascii="Verdana" w:hAnsi="Verdana" w:cs="Arial"/>
          <w:sz w:val="22"/>
          <w:szCs w:val="22"/>
        </w:rPr>
        <w:t>. Na estimativa das receitas do projeto de lei orçamentária poderão ser considerados os efeitos de propostas de alterações na legislação tributária que estejam em tramitação na Câmara Municipal.</w:t>
      </w:r>
    </w:p>
    <w:p w14:paraId="1853506A"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F409E44" w14:textId="77777777" w:rsidR="00AC62F6" w:rsidRPr="00AC62F6" w:rsidRDefault="00AC62F6" w:rsidP="00AC62F6">
      <w:pPr>
        <w:pStyle w:val="Blockquote"/>
        <w:tabs>
          <w:tab w:val="left" w:pos="9356"/>
        </w:tabs>
        <w:spacing w:before="0" w:after="0"/>
        <w:ind w:left="0" w:right="0"/>
        <w:jc w:val="center"/>
        <w:rPr>
          <w:rFonts w:ascii="Verdana" w:hAnsi="Verdana" w:cs="Arial"/>
          <w:b/>
          <w:sz w:val="22"/>
          <w:szCs w:val="22"/>
        </w:rPr>
      </w:pPr>
      <w:r w:rsidRPr="00AC62F6">
        <w:rPr>
          <w:rFonts w:ascii="Verdana" w:hAnsi="Verdana" w:cs="Arial"/>
          <w:b/>
          <w:sz w:val="22"/>
          <w:szCs w:val="22"/>
        </w:rPr>
        <w:t>Capítulo VIII - Do Equilíbrio Entre Receitas e Despesas</w:t>
      </w:r>
    </w:p>
    <w:p w14:paraId="7D047389"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2ED150FF"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22.</w:t>
      </w:r>
      <w:r w:rsidRPr="00AC62F6">
        <w:rPr>
          <w:rFonts w:ascii="Verdana" w:hAnsi="Verdana" w:cs="Arial"/>
          <w:sz w:val="22"/>
          <w:szCs w:val="22"/>
        </w:rPr>
        <w:t xml:space="preserve"> A elaboração do projeto, a aprovação e a execução da lei orçamentária do exercício de 2024 serão orientadas no sentido de alcançar o </w:t>
      </w:r>
      <w:r w:rsidRPr="00AC62F6">
        <w:rPr>
          <w:rFonts w:ascii="Verdana" w:hAnsi="Verdana" w:cs="Arial"/>
          <w:sz w:val="22"/>
          <w:szCs w:val="22"/>
        </w:rPr>
        <w:lastRenderedPageBreak/>
        <w:t>superávit primário necessário para garantir uma trajetória de solidez financeira da administração municipal, conforme discriminado no Anexo de Metas Fiscais, constante desta Lei.</w:t>
      </w:r>
    </w:p>
    <w:p w14:paraId="2F1D14CA"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9B34E2C"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23</w:t>
      </w:r>
      <w:r w:rsidRPr="00AC62F6">
        <w:rPr>
          <w:rFonts w:ascii="Verdana" w:hAnsi="Verdana" w:cs="Arial"/>
          <w:sz w:val="22"/>
          <w:szCs w:val="22"/>
        </w:rPr>
        <w:t>. Os projetos de lei que impliquem em diminuição de receita ou aumento de despesa do Município no exercício de 2024 deverão estar acompanhados de demonstrativos que discriminem o montante estimado da diminuição da receita ou do aumento da despesa, para cada um dos exercícios compreendidos no período de 2024 a 2025, demonstrando a memória de cálculo respectiva.</w:t>
      </w:r>
    </w:p>
    <w:p w14:paraId="3ECA97B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7D2B4E59"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Parágrafo único. Não será aprovado projeto de lei que implique em aumento de despesa sem que estejam acompanhados das medidas definidas nos </w:t>
      </w:r>
      <w:proofErr w:type="spellStart"/>
      <w:r w:rsidRPr="00AC62F6">
        <w:rPr>
          <w:rFonts w:ascii="Verdana" w:hAnsi="Verdana" w:cs="Arial"/>
          <w:sz w:val="22"/>
          <w:szCs w:val="22"/>
        </w:rPr>
        <w:t>arts</w:t>
      </w:r>
      <w:proofErr w:type="spellEnd"/>
      <w:r w:rsidRPr="00AC62F6">
        <w:rPr>
          <w:rFonts w:ascii="Verdana" w:hAnsi="Verdana" w:cs="Arial"/>
          <w:sz w:val="22"/>
          <w:szCs w:val="22"/>
        </w:rPr>
        <w:t>. 16 e 17 da Lei Complementar nº 101/2000.</w:t>
      </w:r>
    </w:p>
    <w:p w14:paraId="0169AABD"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DC7D89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24</w:t>
      </w:r>
      <w:r w:rsidRPr="00AC62F6">
        <w:rPr>
          <w:rFonts w:ascii="Verdana" w:hAnsi="Verdana" w:cs="Arial"/>
          <w:sz w:val="22"/>
          <w:szCs w:val="22"/>
        </w:rPr>
        <w:t>. As estratégias para busca ou manter a manutenção do equilíbrio entre as receitas e despesas poderão levar em conta as seguintes medidas:</w:t>
      </w:r>
    </w:p>
    <w:p w14:paraId="06CE1BF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2C1292C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para</w:t>
      </w:r>
      <w:proofErr w:type="gramEnd"/>
      <w:r w:rsidRPr="00AC62F6">
        <w:rPr>
          <w:rFonts w:ascii="Verdana" w:hAnsi="Verdana" w:cs="Arial"/>
          <w:sz w:val="22"/>
          <w:szCs w:val="22"/>
        </w:rPr>
        <w:t xml:space="preserve"> elevação das receitas: </w:t>
      </w:r>
    </w:p>
    <w:p w14:paraId="5F95351B"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a – </w:t>
      </w:r>
      <w:proofErr w:type="gramStart"/>
      <w:r w:rsidRPr="00AC62F6">
        <w:rPr>
          <w:rFonts w:ascii="Verdana" w:hAnsi="Verdana" w:cs="Arial"/>
          <w:sz w:val="22"/>
          <w:szCs w:val="22"/>
        </w:rPr>
        <w:t>a</w:t>
      </w:r>
      <w:proofErr w:type="gramEnd"/>
      <w:r w:rsidRPr="00AC62F6">
        <w:rPr>
          <w:rFonts w:ascii="Verdana" w:hAnsi="Verdana" w:cs="Arial"/>
          <w:sz w:val="22"/>
          <w:szCs w:val="22"/>
        </w:rPr>
        <w:t xml:space="preserve"> implementação das medidas previstas nos </w:t>
      </w:r>
      <w:proofErr w:type="spellStart"/>
      <w:r w:rsidRPr="00AC62F6">
        <w:rPr>
          <w:rFonts w:ascii="Verdana" w:hAnsi="Verdana" w:cs="Arial"/>
          <w:sz w:val="22"/>
          <w:szCs w:val="22"/>
        </w:rPr>
        <w:t>arts</w:t>
      </w:r>
      <w:proofErr w:type="spellEnd"/>
      <w:r w:rsidRPr="00AC62F6">
        <w:rPr>
          <w:rFonts w:ascii="Verdana" w:hAnsi="Verdana" w:cs="Arial"/>
          <w:sz w:val="22"/>
          <w:szCs w:val="22"/>
        </w:rPr>
        <w:t>. 20 e 21 desta Lei;</w:t>
      </w:r>
    </w:p>
    <w:p w14:paraId="7A2326B8"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b – atualização e informatização do cadastro imobiliário;</w:t>
      </w:r>
    </w:p>
    <w:p w14:paraId="31915FD9"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c – chamamento geral dos contribuintes inscritos na Dívida Ativa.</w:t>
      </w:r>
    </w:p>
    <w:p w14:paraId="3116DD2D"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552FDCEA"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para</w:t>
      </w:r>
      <w:proofErr w:type="gramEnd"/>
      <w:r w:rsidRPr="00AC62F6">
        <w:rPr>
          <w:rFonts w:ascii="Verdana" w:hAnsi="Verdana" w:cs="Arial"/>
          <w:sz w:val="22"/>
          <w:szCs w:val="22"/>
        </w:rPr>
        <w:t xml:space="preserve"> redução das despesas:</w:t>
      </w:r>
    </w:p>
    <w:p w14:paraId="283AE77C"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a – </w:t>
      </w:r>
      <w:proofErr w:type="gramStart"/>
      <w:r w:rsidRPr="00AC62F6">
        <w:rPr>
          <w:rFonts w:ascii="Verdana" w:hAnsi="Verdana" w:cs="Arial"/>
          <w:sz w:val="22"/>
          <w:szCs w:val="22"/>
        </w:rPr>
        <w:t>utilização</w:t>
      </w:r>
      <w:proofErr w:type="gramEnd"/>
      <w:r w:rsidRPr="00AC62F6">
        <w:rPr>
          <w:rFonts w:ascii="Verdana" w:hAnsi="Verdana" w:cs="Arial"/>
          <w:sz w:val="22"/>
          <w:szCs w:val="22"/>
        </w:rPr>
        <w:t xml:space="preserve"> da modalidade de licitação denominada pregão e implantação de rigorosa pesquisa de preços, de forma a baratear toda e qualquer compra e evitar a cartelização dos fornecedores;</w:t>
      </w:r>
    </w:p>
    <w:p w14:paraId="76CF37CA"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b </w:t>
      </w:r>
      <w:proofErr w:type="gramStart"/>
      <w:r w:rsidRPr="00AC62F6">
        <w:rPr>
          <w:rFonts w:ascii="Verdana" w:hAnsi="Verdana" w:cs="Arial"/>
          <w:sz w:val="22"/>
          <w:szCs w:val="22"/>
        </w:rPr>
        <w:t>–  revisão</w:t>
      </w:r>
      <w:proofErr w:type="gramEnd"/>
      <w:r w:rsidRPr="00AC62F6">
        <w:rPr>
          <w:rFonts w:ascii="Verdana" w:hAnsi="Verdana" w:cs="Arial"/>
          <w:sz w:val="22"/>
          <w:szCs w:val="22"/>
        </w:rPr>
        <w:t xml:space="preserve"> geral das gratificações concedidas aos servidores.</w:t>
      </w:r>
    </w:p>
    <w:p w14:paraId="069C45FC"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p>
    <w:p w14:paraId="343582EE"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IX - Dos Critérios e Formas de Limitação de Empenho</w:t>
      </w:r>
    </w:p>
    <w:p w14:paraId="03ECA8A6" w14:textId="77777777" w:rsidR="00AC62F6" w:rsidRPr="00AC62F6" w:rsidRDefault="00AC62F6" w:rsidP="00AC62F6">
      <w:pPr>
        <w:pStyle w:val="Blockquote"/>
        <w:tabs>
          <w:tab w:val="left" w:pos="9356"/>
        </w:tabs>
        <w:spacing w:before="0" w:after="0"/>
        <w:ind w:left="0" w:right="6"/>
        <w:jc w:val="center"/>
        <w:rPr>
          <w:rFonts w:ascii="Verdana" w:hAnsi="Verdana" w:cs="Arial"/>
          <w:sz w:val="22"/>
          <w:szCs w:val="22"/>
        </w:rPr>
      </w:pPr>
    </w:p>
    <w:p w14:paraId="290EA70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25</w:t>
      </w:r>
      <w:r w:rsidRPr="00AC62F6">
        <w:rPr>
          <w:rFonts w:ascii="Verdana" w:hAnsi="Verdana" w:cs="Arial"/>
          <w:sz w:val="22"/>
          <w:szCs w:val="22"/>
        </w:rPr>
        <w:t xml:space="preserve"> Na hipótese de ocorrência das circunstâncias estabelecidas no </w:t>
      </w:r>
      <w:r w:rsidRPr="00AC62F6">
        <w:rPr>
          <w:rFonts w:ascii="Verdana" w:hAnsi="Verdana" w:cs="Arial"/>
          <w:i/>
          <w:iCs/>
          <w:sz w:val="22"/>
          <w:szCs w:val="22"/>
        </w:rPr>
        <w:t>caput</w:t>
      </w:r>
      <w:r w:rsidRPr="00AC62F6">
        <w:rPr>
          <w:rFonts w:ascii="Verdana" w:hAnsi="Verdana" w:cs="Arial"/>
          <w:sz w:val="22"/>
          <w:szCs w:val="22"/>
        </w:rPr>
        <w:t xml:space="preserve"> do artigo 9º, e no inciso II do § 1º do artigo 31, da Lei Complementar nº 101/2000, o Poder Executivo e o Poder Legislativo procederão à respectiva limitação de empenho e de movimentação financeira, calculada de forma proporcional à participação dos Poderes no total das dotações iniciais constantes da lei orçamentária de 2024, utilizando para tal fim as cotas orçamentárias e financeiras.</w:t>
      </w:r>
    </w:p>
    <w:p w14:paraId="322A45EE"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1AC99082"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 1º.  Excluem-se da limitação prevista no </w:t>
      </w:r>
      <w:r w:rsidRPr="00AC62F6">
        <w:rPr>
          <w:rFonts w:ascii="Verdana" w:hAnsi="Verdana" w:cs="Arial"/>
          <w:i/>
          <w:iCs/>
          <w:sz w:val="22"/>
          <w:szCs w:val="22"/>
        </w:rPr>
        <w:t>caput</w:t>
      </w:r>
      <w:r w:rsidRPr="00AC62F6">
        <w:rPr>
          <w:rFonts w:ascii="Verdana" w:hAnsi="Verdana" w:cs="Arial"/>
          <w:sz w:val="22"/>
          <w:szCs w:val="22"/>
        </w:rPr>
        <w:t xml:space="preserve"> deste artigo: </w:t>
      </w:r>
    </w:p>
    <w:p w14:paraId="41B984E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052D265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despesas com pessoal e encargos sociais;</w:t>
      </w:r>
    </w:p>
    <w:p w14:paraId="30244121"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despesas com benefícios previdenciários;</w:t>
      </w:r>
    </w:p>
    <w:p w14:paraId="79E355F1"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III – as despesas com amortização, juros e encargos da dívida;</w:t>
      </w:r>
    </w:p>
    <w:p w14:paraId="2164FF48"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despesas com PASEP;</w:t>
      </w:r>
    </w:p>
    <w:p w14:paraId="3AA22308"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V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despesas com o pagamento de precatórios e sentenças judiciais;</w:t>
      </w:r>
    </w:p>
    <w:p w14:paraId="7926B462"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VI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demais despesas que constituam obrigação constitucional e legal.</w:t>
      </w:r>
    </w:p>
    <w:p w14:paraId="5CE30292"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0BE67555"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lastRenderedPageBreak/>
        <w:t xml:space="preserve">§ 2º. O Poder Executivo comunicará ao Poder Legislativo o montante que lhe caberá tornar indisponível para empenho e movimentação financeira, conforme proporção estabelecida no </w:t>
      </w:r>
      <w:r w:rsidRPr="00AC62F6">
        <w:rPr>
          <w:rFonts w:ascii="Verdana" w:hAnsi="Verdana" w:cs="Arial"/>
          <w:i/>
          <w:iCs/>
          <w:sz w:val="22"/>
          <w:szCs w:val="22"/>
        </w:rPr>
        <w:t>caput</w:t>
      </w:r>
      <w:r w:rsidRPr="00AC62F6">
        <w:rPr>
          <w:rFonts w:ascii="Verdana" w:hAnsi="Verdana" w:cs="Arial"/>
          <w:sz w:val="22"/>
          <w:szCs w:val="22"/>
        </w:rPr>
        <w:t xml:space="preserve"> deste artigo.</w:t>
      </w:r>
    </w:p>
    <w:p w14:paraId="232FECA3"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0095E9E2"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3º. Os Poderes Executivo e Legislativo, com base na comunicação de que trata o parágrafo anterior, emitirão e publicarão ato próprio estabelecendo os montantes que caberão aos respectivos órgãos e entidades na limitação do empenho e da movimentação financeira.</w:t>
      </w:r>
    </w:p>
    <w:p w14:paraId="123A2D37"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5CE54D9A"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4º. Se verificado, ao final de um bimestre, que a realização da receita não será suficiente para garantir o equilíbrio das contas públicas, adotar-se-ão as mesmas medidas previstas neste artigo.</w:t>
      </w:r>
    </w:p>
    <w:p w14:paraId="63DF023E" w14:textId="77777777" w:rsidR="00AC62F6" w:rsidRPr="00AC62F6" w:rsidRDefault="00AC62F6" w:rsidP="00AC62F6">
      <w:pPr>
        <w:pStyle w:val="Blockquote"/>
        <w:tabs>
          <w:tab w:val="left" w:pos="9356"/>
        </w:tabs>
        <w:spacing w:before="0" w:after="0"/>
        <w:ind w:left="0" w:right="0"/>
        <w:jc w:val="both"/>
        <w:rPr>
          <w:rFonts w:ascii="Verdana" w:hAnsi="Verdana" w:cs="Arial"/>
          <w:b/>
          <w:sz w:val="22"/>
          <w:szCs w:val="22"/>
        </w:rPr>
      </w:pPr>
    </w:p>
    <w:p w14:paraId="7D65FF41"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 - Das Normas Relativas ao Controle de Custos e Avaliação dos Resultados dos Programas Financiados com Recursos dos Orçamentos</w:t>
      </w:r>
    </w:p>
    <w:p w14:paraId="4CFE4EA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531D62F8"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26</w:t>
      </w:r>
      <w:r w:rsidRPr="00AC62F6">
        <w:rPr>
          <w:rFonts w:ascii="Verdana" w:hAnsi="Verdana" w:cs="Arial"/>
          <w:sz w:val="22"/>
          <w:szCs w:val="22"/>
        </w:rPr>
        <w:t>.  O Poder Executivo realizará estudos visando a definição de sistema de controle de custos e a avaliação do resultado dos programas de governo.</w:t>
      </w:r>
    </w:p>
    <w:p w14:paraId="296AA44E"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7B2E0080"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b/>
          <w:bCs/>
          <w:sz w:val="22"/>
          <w:szCs w:val="22"/>
        </w:rPr>
        <w:t>Art. 27</w:t>
      </w:r>
      <w:r w:rsidRPr="00AC62F6">
        <w:rPr>
          <w:rFonts w:ascii="Verdana" w:hAnsi="Verdana" w:cs="Arial"/>
          <w:sz w:val="22"/>
          <w:szCs w:val="22"/>
        </w:rPr>
        <w:t xml:space="preserve">. A lei orçamentária de 2024 e seus créditos adicionais deverão agregar todas as ações governamentais necessárias ao cumprimento dos objetivos dos respectivos programas, sendo que as ações governamentais que não contribuírem para a realização de um programa específico deverão ser agregadas num programa denominado “Apoio Administrativo” ou de finalidade semelhante. </w:t>
      </w:r>
    </w:p>
    <w:p w14:paraId="2ED6293C"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68F8AAA7"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r w:rsidRPr="00AC62F6">
        <w:rPr>
          <w:rFonts w:ascii="Verdana" w:hAnsi="Verdana" w:cs="Arial"/>
          <w:sz w:val="22"/>
          <w:szCs w:val="22"/>
        </w:rPr>
        <w:t xml:space="preserve">Parágrafo único. Merecerá destaque o aprimoramento da gestão orçamentária, financeira e patrimonial, por intermédio da modernização </w:t>
      </w:r>
      <w:proofErr w:type="gramStart"/>
      <w:r w:rsidRPr="00AC62F6">
        <w:rPr>
          <w:rFonts w:ascii="Verdana" w:hAnsi="Verdana" w:cs="Arial"/>
          <w:sz w:val="22"/>
          <w:szCs w:val="22"/>
        </w:rPr>
        <w:t>dos  instrumentos</w:t>
      </w:r>
      <w:proofErr w:type="gramEnd"/>
      <w:r w:rsidRPr="00AC62F6">
        <w:rPr>
          <w:rFonts w:ascii="Verdana" w:hAnsi="Verdana" w:cs="Arial"/>
          <w:sz w:val="22"/>
          <w:szCs w:val="22"/>
        </w:rPr>
        <w:t xml:space="preserve"> de planejamento, execução, avaliação e controle interno, visando a eficiência e a eficácia administrativa.</w:t>
      </w:r>
    </w:p>
    <w:p w14:paraId="26B7A9ED"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6EFEBA18" w14:textId="77777777" w:rsidR="00AC62F6" w:rsidRPr="00AC62F6" w:rsidRDefault="00AC62F6" w:rsidP="00AC62F6">
      <w:pPr>
        <w:pStyle w:val="Blockquote"/>
        <w:tabs>
          <w:tab w:val="left" w:pos="9356"/>
        </w:tabs>
        <w:spacing w:before="0" w:after="0"/>
        <w:ind w:left="0" w:right="0"/>
        <w:jc w:val="center"/>
        <w:rPr>
          <w:rFonts w:ascii="Verdana" w:hAnsi="Verdana" w:cs="Arial"/>
          <w:b/>
          <w:sz w:val="22"/>
          <w:szCs w:val="22"/>
        </w:rPr>
      </w:pPr>
      <w:r w:rsidRPr="00AC62F6">
        <w:rPr>
          <w:rFonts w:ascii="Verdana" w:hAnsi="Verdana" w:cs="Arial"/>
          <w:b/>
          <w:sz w:val="22"/>
          <w:szCs w:val="22"/>
        </w:rPr>
        <w:t>Capítulo XI - Das Condições e Exigências para Transferências de Recursos a Entidades Públicas e Privadas</w:t>
      </w:r>
    </w:p>
    <w:p w14:paraId="3D36121F" w14:textId="77777777" w:rsidR="00AC62F6" w:rsidRPr="00AC62F6" w:rsidRDefault="00AC62F6" w:rsidP="00AC62F6">
      <w:pPr>
        <w:pStyle w:val="Blockquote"/>
        <w:tabs>
          <w:tab w:val="left" w:pos="9356"/>
        </w:tabs>
        <w:spacing w:before="0" w:after="0"/>
        <w:ind w:left="0" w:right="0"/>
        <w:jc w:val="both"/>
        <w:rPr>
          <w:rFonts w:ascii="Verdana" w:hAnsi="Verdana" w:cs="Arial"/>
          <w:sz w:val="22"/>
          <w:szCs w:val="22"/>
        </w:rPr>
      </w:pPr>
    </w:p>
    <w:p w14:paraId="5E61FC3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28</w:t>
      </w:r>
      <w:r w:rsidRPr="00AC62F6">
        <w:rPr>
          <w:rFonts w:ascii="Verdana" w:hAnsi="Verdana" w:cs="Arial"/>
          <w:sz w:val="22"/>
          <w:szCs w:val="22"/>
        </w:rPr>
        <w:t>. É vedada a inclusão, na lei orçamentária e em seus créditos adicionais, de dotações a título de subvenções sociais, ressalvadas as autorizadas mediante lei específica que sejam destinadas às entidades que prestem atendimento direto ao público, de forma gratuita, nas áreas de assistência social, saúde, educação ou cultura;</w:t>
      </w:r>
    </w:p>
    <w:p w14:paraId="7015925C"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069CBF19"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Parágrafo único. Para habilitar-se ao recebimento de subvenções sociais, a entidade privada sem fins lucrativos deverá estar de acordo com as condições e normas estabelecidas pela Lei 13.019, de 31 de julho de 2014 e demais legislações pertinentes.</w:t>
      </w:r>
    </w:p>
    <w:p w14:paraId="465BD64F"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C395F5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29</w:t>
      </w:r>
      <w:r w:rsidRPr="00AC62F6">
        <w:rPr>
          <w:rFonts w:ascii="Verdana" w:hAnsi="Verdana" w:cs="Arial"/>
          <w:sz w:val="22"/>
          <w:szCs w:val="22"/>
        </w:rPr>
        <w:t>. É vedada a inclusão, na lei orçamentária e em seus créditos adicionais, de dotações a título de auxílios e contribuições para entidades públicas e/ou privadas, ressalvadas as autorizadas mediante lei específica e desde que sejam:</w:t>
      </w:r>
    </w:p>
    <w:p w14:paraId="500AF00F"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EA8416C"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de</w:t>
      </w:r>
      <w:proofErr w:type="gramEnd"/>
      <w:r w:rsidRPr="00AC62F6">
        <w:rPr>
          <w:rFonts w:ascii="Verdana" w:hAnsi="Verdana" w:cs="Arial"/>
          <w:sz w:val="22"/>
          <w:szCs w:val="22"/>
        </w:rPr>
        <w:t xml:space="preserve"> atendimento direto e gratuito ao público, voltadas para as ações relativas ao ensino, saúde, cultura, assistência social, agropecuária, de proteção ao meio ambiente e segurança pública;</w:t>
      </w:r>
    </w:p>
    <w:p w14:paraId="27E29B23"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associações</w:t>
      </w:r>
      <w:proofErr w:type="gramEnd"/>
      <w:r w:rsidRPr="00AC62F6">
        <w:rPr>
          <w:rFonts w:ascii="Verdana" w:hAnsi="Verdana" w:cs="Arial"/>
          <w:sz w:val="22"/>
          <w:szCs w:val="22"/>
        </w:rPr>
        <w:t xml:space="preserve"> ou consórcios intermunicipais, constituídos exclusivamente por entes públicos, legalmente instituídos e signatários de contrato de gestão com a administração pública municipal, e que participem da execução de programas municipais.</w:t>
      </w:r>
    </w:p>
    <w:p w14:paraId="3B664B75"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5E6994C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30</w:t>
      </w:r>
      <w:r w:rsidRPr="00AC62F6">
        <w:rPr>
          <w:rFonts w:ascii="Verdana" w:hAnsi="Verdana" w:cs="Arial"/>
          <w:sz w:val="22"/>
          <w:szCs w:val="22"/>
        </w:rPr>
        <w:t xml:space="preserve">. É vedada a inclusão, na lei orçamentária e em seus créditos adicionais, de dotações a título de contribuições para entidades privadas </w:t>
      </w:r>
      <w:r w:rsidRPr="00AC62F6">
        <w:rPr>
          <w:rFonts w:ascii="Verdana" w:hAnsi="Verdana" w:cs="Arial"/>
          <w:bCs/>
          <w:sz w:val="22"/>
          <w:szCs w:val="22"/>
        </w:rPr>
        <w:t>de fins lucrativos</w:t>
      </w:r>
      <w:r w:rsidRPr="00AC62F6">
        <w:rPr>
          <w:rFonts w:ascii="Verdana" w:hAnsi="Verdana" w:cs="Arial"/>
          <w:sz w:val="22"/>
          <w:szCs w:val="22"/>
        </w:rPr>
        <w:t>, ressalvadas as instituídas por lei específica no âmbito do Município que sejam destinadas aos programas de desenvolvimento econômico.</w:t>
      </w:r>
    </w:p>
    <w:p w14:paraId="137C945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2D54B55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31</w:t>
      </w:r>
      <w:r w:rsidRPr="00AC62F6">
        <w:rPr>
          <w:rFonts w:ascii="Verdana" w:hAnsi="Verdana" w:cs="Arial"/>
          <w:sz w:val="22"/>
          <w:szCs w:val="22"/>
        </w:rPr>
        <w:t>.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da Lei Complementar nº 101/2000.</w:t>
      </w:r>
    </w:p>
    <w:p w14:paraId="25BD8042"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71EE198C"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32</w:t>
      </w:r>
      <w:r w:rsidRPr="00AC62F6">
        <w:rPr>
          <w:rFonts w:ascii="Verdana" w:hAnsi="Verdana" w:cs="Arial"/>
          <w:sz w:val="22"/>
          <w:szCs w:val="22"/>
        </w:rPr>
        <w:t>. As entidades beneficiadas com os recursos públicos previstos neste Capítulo, a qualquer título, submeter-se-ão à fiscalização do Poder Executivo com a finalidade de verificar o cumprimento dos objetivos para os quais receberam os recursos.</w:t>
      </w:r>
    </w:p>
    <w:p w14:paraId="56570B3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6455300A"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33.</w:t>
      </w:r>
      <w:r w:rsidRPr="00AC62F6">
        <w:rPr>
          <w:rFonts w:ascii="Verdana" w:hAnsi="Verdana" w:cs="Arial"/>
          <w:sz w:val="22"/>
          <w:szCs w:val="22"/>
        </w:rPr>
        <w:t xml:space="preserve"> As transferências de recursos às entidades previstas nos </w:t>
      </w:r>
      <w:proofErr w:type="spellStart"/>
      <w:r w:rsidRPr="00AC62F6">
        <w:rPr>
          <w:rFonts w:ascii="Verdana" w:hAnsi="Verdana" w:cs="Arial"/>
          <w:sz w:val="22"/>
          <w:szCs w:val="22"/>
        </w:rPr>
        <w:t>arts</w:t>
      </w:r>
      <w:proofErr w:type="spellEnd"/>
      <w:r w:rsidRPr="00AC62F6">
        <w:rPr>
          <w:rFonts w:ascii="Verdana" w:hAnsi="Verdana" w:cs="Arial"/>
          <w:sz w:val="22"/>
          <w:szCs w:val="22"/>
        </w:rPr>
        <w:t>. 28 e 29 deste Capítulo deverão ser precedidas da aprovação de plano de trabalho e da celebração de convênio, devendo ser observadas na elaboração de tais instrumentos as exigências do art. 116 da Lei nº 8.666/1993, ou de outra Lei que vier substituí-la ou alterá-la.</w:t>
      </w:r>
    </w:p>
    <w:p w14:paraId="3320D649"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DC9828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 1º. Compete ao órgão ou entidade concedente o acompanhamento da realização do plano de trabalho executado com recursos transferidos pelo Município.  </w:t>
      </w:r>
    </w:p>
    <w:p w14:paraId="06A0CD2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2º. É vedada a celebração de convênio com entidade em situação irregular com o Município, em decorrência de transferência feita anteriormente.</w:t>
      </w:r>
    </w:p>
    <w:p w14:paraId="61EC45A2" w14:textId="77777777" w:rsidR="00AC62F6" w:rsidRPr="00AC62F6" w:rsidRDefault="00AC62F6" w:rsidP="00AC62F6">
      <w:pPr>
        <w:jc w:val="both"/>
        <w:rPr>
          <w:rFonts w:ascii="Verdana" w:hAnsi="Verdana" w:cs="Arial"/>
          <w:sz w:val="22"/>
          <w:szCs w:val="22"/>
        </w:rPr>
      </w:pPr>
    </w:p>
    <w:p w14:paraId="40385595"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34</w:t>
      </w:r>
      <w:r w:rsidRPr="00AC62F6">
        <w:rPr>
          <w:rFonts w:ascii="Verdana" w:hAnsi="Verdana" w:cs="Arial"/>
          <w:sz w:val="22"/>
          <w:szCs w:val="22"/>
        </w:rPr>
        <w:t>. É vedada a destinação, na lei orçamentária e em seus créditos adicionais, de recursos para diretamente cobrir necessidades de pessoas físicas, ressalvadas as que atendam às exigências do art. 26 da Lei Complementar nº 101/2000 e sejam observadas as condições definidas na lei específica.</w:t>
      </w:r>
    </w:p>
    <w:p w14:paraId="4C380706" w14:textId="77777777" w:rsidR="00AC62F6" w:rsidRPr="00AC62F6" w:rsidRDefault="00AC62F6" w:rsidP="00AC62F6">
      <w:pPr>
        <w:jc w:val="both"/>
        <w:rPr>
          <w:rFonts w:ascii="Verdana" w:hAnsi="Verdana" w:cs="Arial"/>
          <w:sz w:val="22"/>
          <w:szCs w:val="22"/>
        </w:rPr>
      </w:pPr>
    </w:p>
    <w:p w14:paraId="1C725F7A"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Parágrafo único. As normas do </w:t>
      </w:r>
      <w:r w:rsidRPr="00AC62F6">
        <w:rPr>
          <w:rFonts w:ascii="Verdana" w:hAnsi="Verdana" w:cs="Arial"/>
          <w:i/>
          <w:iCs/>
          <w:sz w:val="22"/>
          <w:szCs w:val="22"/>
        </w:rPr>
        <w:t>caput</w:t>
      </w:r>
      <w:r w:rsidRPr="00AC62F6">
        <w:rPr>
          <w:rFonts w:ascii="Verdana" w:hAnsi="Verdana" w:cs="Arial"/>
          <w:sz w:val="22"/>
          <w:szCs w:val="22"/>
        </w:rPr>
        <w:t xml:space="preserve"> deste artigo não se aplicam a ajuda a pessoas físicas custeadas pelos recursos do Sistema Único de Saúde. </w:t>
      </w:r>
    </w:p>
    <w:p w14:paraId="6AC58D2E" w14:textId="77777777" w:rsidR="00AC62F6" w:rsidRPr="00AC62F6" w:rsidRDefault="00AC62F6" w:rsidP="00AC62F6">
      <w:pPr>
        <w:jc w:val="both"/>
        <w:rPr>
          <w:rFonts w:ascii="Verdana" w:hAnsi="Verdana" w:cs="Arial"/>
          <w:sz w:val="22"/>
          <w:szCs w:val="22"/>
        </w:rPr>
      </w:pPr>
    </w:p>
    <w:p w14:paraId="37C610F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35</w:t>
      </w:r>
      <w:r w:rsidRPr="00AC62F6">
        <w:rPr>
          <w:rFonts w:ascii="Verdana" w:hAnsi="Verdana" w:cs="Arial"/>
          <w:sz w:val="22"/>
          <w:szCs w:val="22"/>
        </w:rPr>
        <w:t xml:space="preserve">. A transferência de recursos financeiros de uma entidade para outra, inclusive da Prefeitura Municipal para as entidades da Administração Indireta </w:t>
      </w:r>
      <w:r w:rsidRPr="00AC62F6">
        <w:rPr>
          <w:rFonts w:ascii="Verdana" w:hAnsi="Verdana" w:cs="Arial"/>
          <w:sz w:val="22"/>
          <w:szCs w:val="22"/>
        </w:rPr>
        <w:lastRenderedPageBreak/>
        <w:t>e para a Câmara Municipal, fica limitada ao valor previsto na lei orçamentária anual e em seus créditos adicionais.</w:t>
      </w:r>
    </w:p>
    <w:p w14:paraId="44852234"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427DFC42"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Parágrafo único. O aumento da transferência de recursos financeiros de uma entidade para outra somente poderá ocorrer mediante prévia autorização legislativa, conforme determina o art. 167, inciso VI da Constituição da República.</w:t>
      </w:r>
    </w:p>
    <w:p w14:paraId="764341DF"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D42F64F"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XII - Dos Parâmetros para a Elaboração da Programação Financeira e do Cronograma Mensal de Desembolso</w:t>
      </w:r>
    </w:p>
    <w:p w14:paraId="5CEFF68F" w14:textId="77777777" w:rsidR="00AC62F6" w:rsidRPr="00AC62F6" w:rsidRDefault="00AC62F6" w:rsidP="00AC62F6">
      <w:pPr>
        <w:pStyle w:val="Blockquote"/>
        <w:tabs>
          <w:tab w:val="left" w:pos="9356"/>
        </w:tabs>
        <w:spacing w:before="0" w:after="0"/>
        <w:ind w:left="0" w:right="6"/>
        <w:jc w:val="center"/>
        <w:rPr>
          <w:rFonts w:ascii="Verdana" w:hAnsi="Verdana" w:cs="Arial"/>
          <w:sz w:val="22"/>
          <w:szCs w:val="22"/>
        </w:rPr>
      </w:pPr>
    </w:p>
    <w:p w14:paraId="7CD2BF2F"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b/>
          <w:bCs/>
          <w:sz w:val="22"/>
          <w:szCs w:val="22"/>
        </w:rPr>
        <w:t>Art. 36</w:t>
      </w:r>
      <w:r w:rsidRPr="00AC62F6">
        <w:rPr>
          <w:rFonts w:ascii="Verdana" w:hAnsi="Verdana" w:cs="Arial"/>
          <w:sz w:val="22"/>
          <w:szCs w:val="22"/>
        </w:rPr>
        <w:t xml:space="preserve">. O Poder Executivo estabelecerá por ato próprio, até 45 (trinta) dias após a publicação da lei orçamentária de 2024, as metas bimestrais de arrecadação, a programação financeira e o cronograma mensal de desembolso, respectivamente, nos termos dos </w:t>
      </w:r>
      <w:proofErr w:type="spellStart"/>
      <w:r w:rsidRPr="00AC62F6">
        <w:rPr>
          <w:rFonts w:ascii="Verdana" w:hAnsi="Verdana" w:cs="Arial"/>
          <w:sz w:val="22"/>
          <w:szCs w:val="22"/>
        </w:rPr>
        <w:t>arts</w:t>
      </w:r>
      <w:proofErr w:type="spellEnd"/>
      <w:r w:rsidRPr="00AC62F6">
        <w:rPr>
          <w:rFonts w:ascii="Verdana" w:hAnsi="Verdana" w:cs="Arial"/>
          <w:sz w:val="22"/>
          <w:szCs w:val="22"/>
        </w:rPr>
        <w:t>. 13 e 8º da Lei Complementar nº 101/2000.</w:t>
      </w:r>
    </w:p>
    <w:p w14:paraId="3BFD7C37"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0693137D"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 xml:space="preserve">§ 1º. Para atender ao </w:t>
      </w:r>
      <w:r w:rsidRPr="00AC62F6">
        <w:rPr>
          <w:rFonts w:ascii="Verdana" w:hAnsi="Verdana" w:cs="Arial"/>
          <w:i/>
          <w:iCs/>
          <w:sz w:val="22"/>
          <w:szCs w:val="22"/>
        </w:rPr>
        <w:t>caput</w:t>
      </w:r>
      <w:r w:rsidRPr="00AC62F6">
        <w:rPr>
          <w:rFonts w:ascii="Verdana" w:hAnsi="Verdana" w:cs="Arial"/>
          <w:sz w:val="22"/>
          <w:szCs w:val="22"/>
        </w:rPr>
        <w:t xml:space="preserve"> deste artigo, as entidades da administração indireta e o Poder Legislativo encaminharão ao Órgão Central de Contabilidade do Município, até 15 (quinze) dias após a publicação da lei orçamentária de 2024, os seguintes demonstrativos:</w:t>
      </w:r>
    </w:p>
    <w:p w14:paraId="535F5D27"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0C858A98"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metas mensais de arrecadação de receitas, de forma a atender o disposto no art. 13 da Lei Complementar nº 101/2000;</w:t>
      </w:r>
    </w:p>
    <w:p w14:paraId="7A22B27F"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a</w:t>
      </w:r>
      <w:proofErr w:type="gramEnd"/>
      <w:r w:rsidRPr="00AC62F6">
        <w:rPr>
          <w:rFonts w:ascii="Verdana" w:hAnsi="Verdana" w:cs="Arial"/>
          <w:sz w:val="22"/>
          <w:szCs w:val="22"/>
        </w:rPr>
        <w:t xml:space="preserve"> programação financeira das despesas, nos termos do art. 8º da Lei Complementar nº 101/2000;</w:t>
      </w:r>
    </w:p>
    <w:p w14:paraId="2026A4B4"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III – o cronograma mensal de desembolso, incluídos os pagamentos dos restos a pagar, nos termos do art. 8º da Lei Complementar nº 101/2000.</w:t>
      </w:r>
    </w:p>
    <w:p w14:paraId="05895CE5"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01BD65F5"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 2º. O Poder Executivo deverá dar publicidade às metas bimestrais de arrecadação, à programação financeira e ao cronograma mensal de desembolso, no órgão oficial de publicação do Município até 30 (trinta) dias após a publicação da lei orçamentária de 2024;</w:t>
      </w:r>
    </w:p>
    <w:p w14:paraId="59FD1449"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5D001BC6"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sz w:val="22"/>
          <w:szCs w:val="22"/>
        </w:rPr>
        <w:t xml:space="preserve">§ 3º. A programação financeira e o cronograma mensal de desembolso de que trata o </w:t>
      </w:r>
      <w:r w:rsidRPr="00AC62F6">
        <w:rPr>
          <w:rFonts w:ascii="Verdana" w:hAnsi="Verdana" w:cs="Arial"/>
          <w:i/>
          <w:iCs/>
          <w:sz w:val="22"/>
          <w:szCs w:val="22"/>
        </w:rPr>
        <w:t>caput</w:t>
      </w:r>
      <w:r w:rsidRPr="00AC62F6">
        <w:rPr>
          <w:rFonts w:ascii="Verdana" w:hAnsi="Verdana" w:cs="Arial"/>
          <w:sz w:val="22"/>
          <w:szCs w:val="22"/>
        </w:rPr>
        <w:t xml:space="preserve"> deste artigo deverão ser elaborados de forma a garantir o cumprimento da meta de resultado primário estabelecida nesta Lei.</w:t>
      </w:r>
    </w:p>
    <w:p w14:paraId="683650F2"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06CC41D6"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XIII - Da Definição de Critérios para Início de Novos Projetos</w:t>
      </w:r>
    </w:p>
    <w:p w14:paraId="65067420"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43A1D11B"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b/>
          <w:bCs/>
          <w:sz w:val="22"/>
          <w:szCs w:val="22"/>
        </w:rPr>
        <w:t>Art. 37</w:t>
      </w:r>
      <w:r w:rsidRPr="00AC62F6">
        <w:rPr>
          <w:rFonts w:ascii="Verdana" w:hAnsi="Verdana" w:cs="Arial"/>
          <w:sz w:val="22"/>
          <w:szCs w:val="22"/>
        </w:rPr>
        <w:t>.  Além da observância das metas e prioridades definidas nos termos do artigo 2º desta Lei, a lei orçamentária de 2024 e seus créditos adicionais, observado o disposto no art. 45 da Lei Complementar nº 101/2000, somente incluirão projetos novos se:</w:t>
      </w:r>
    </w:p>
    <w:p w14:paraId="31DFDEB6" w14:textId="77777777" w:rsidR="00AC62F6" w:rsidRPr="00AC62F6" w:rsidRDefault="00AC62F6" w:rsidP="00AC62F6">
      <w:pPr>
        <w:pStyle w:val="NormalWeb"/>
        <w:spacing w:before="0" w:beforeAutospacing="0" w:after="0" w:afterAutospacing="0"/>
        <w:jc w:val="both"/>
        <w:rPr>
          <w:rFonts w:ascii="Verdana" w:hAnsi="Verdana" w:cs="Arial"/>
          <w:sz w:val="22"/>
          <w:szCs w:val="22"/>
        </w:rPr>
      </w:pPr>
    </w:p>
    <w:p w14:paraId="746FC727"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 – </w:t>
      </w:r>
      <w:proofErr w:type="gramStart"/>
      <w:r w:rsidRPr="00AC62F6">
        <w:rPr>
          <w:rFonts w:ascii="Verdana" w:hAnsi="Verdana" w:cs="Arial"/>
          <w:sz w:val="22"/>
          <w:szCs w:val="22"/>
        </w:rPr>
        <w:t>estiverem</w:t>
      </w:r>
      <w:proofErr w:type="gramEnd"/>
      <w:r w:rsidRPr="00AC62F6">
        <w:rPr>
          <w:rFonts w:ascii="Verdana" w:hAnsi="Verdana" w:cs="Arial"/>
          <w:sz w:val="22"/>
          <w:szCs w:val="22"/>
        </w:rPr>
        <w:t xml:space="preserve"> compatíveis com o Plano Plurianual de 2022-2025 e com as normas desta Lei;</w:t>
      </w:r>
    </w:p>
    <w:p w14:paraId="7F38179A"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r w:rsidRPr="00AC62F6">
        <w:rPr>
          <w:rFonts w:ascii="Verdana" w:hAnsi="Verdana" w:cs="Arial"/>
          <w:sz w:val="22"/>
          <w:szCs w:val="22"/>
        </w:rPr>
        <w:t xml:space="preserve">II – </w:t>
      </w:r>
      <w:proofErr w:type="gramStart"/>
      <w:r w:rsidRPr="00AC62F6">
        <w:rPr>
          <w:rFonts w:ascii="Verdana" w:hAnsi="Verdana" w:cs="Arial"/>
          <w:sz w:val="22"/>
          <w:szCs w:val="22"/>
        </w:rPr>
        <w:t>as</w:t>
      </w:r>
      <w:proofErr w:type="gramEnd"/>
      <w:r w:rsidRPr="00AC62F6">
        <w:rPr>
          <w:rFonts w:ascii="Verdana" w:hAnsi="Verdana" w:cs="Arial"/>
          <w:sz w:val="22"/>
          <w:szCs w:val="22"/>
        </w:rPr>
        <w:t xml:space="preserve"> dotações consignadas às obras já iniciadas forem suficientes para o atendimento de seu cronograma físico-financeiro;</w:t>
      </w:r>
    </w:p>
    <w:p w14:paraId="25EE79A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lastRenderedPageBreak/>
        <w:t>III – estiverem preservados os recursos necessários à conservação do patrimônio público;</w:t>
      </w:r>
    </w:p>
    <w:p w14:paraId="48BD4472"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 xml:space="preserve">IV – </w:t>
      </w:r>
      <w:proofErr w:type="gramStart"/>
      <w:r w:rsidRPr="00AC62F6">
        <w:rPr>
          <w:rFonts w:ascii="Verdana" w:hAnsi="Verdana" w:cs="Arial"/>
          <w:sz w:val="22"/>
          <w:szCs w:val="22"/>
        </w:rPr>
        <w:t>os</w:t>
      </w:r>
      <w:proofErr w:type="gramEnd"/>
      <w:r w:rsidRPr="00AC62F6">
        <w:rPr>
          <w:rFonts w:ascii="Verdana" w:hAnsi="Verdana" w:cs="Arial"/>
          <w:sz w:val="22"/>
          <w:szCs w:val="22"/>
        </w:rPr>
        <w:t xml:space="preserve"> recursos alocados destinarem-se a contrapartidas de recursos federais, estaduais ou de operações de crédito.</w:t>
      </w:r>
    </w:p>
    <w:p w14:paraId="1FF7A847"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7AFF5D9E"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Parágrafo único. Considera-se projeto em andamento para os efeitos desta Lei, aquele cuja execução iniciar-se até a data de encaminhamento da proposta orçamentária de 2024, cujo cronograma de execução ultrapasse o término do exercício de 2024.</w:t>
      </w:r>
    </w:p>
    <w:p w14:paraId="31B76E96"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651A3174"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XIV - Da Definição das Despesas Consideradas Irrelevantes</w:t>
      </w:r>
    </w:p>
    <w:p w14:paraId="38E81B7D" w14:textId="77777777" w:rsidR="00AC62F6" w:rsidRPr="00AC62F6" w:rsidRDefault="00AC62F6" w:rsidP="00AC62F6">
      <w:pPr>
        <w:pStyle w:val="Blockquote"/>
        <w:tabs>
          <w:tab w:val="left" w:pos="9356"/>
        </w:tabs>
        <w:spacing w:before="0" w:after="0"/>
        <w:ind w:left="0" w:right="6"/>
        <w:jc w:val="center"/>
        <w:rPr>
          <w:rFonts w:ascii="Verdana" w:hAnsi="Verdana" w:cs="Arial"/>
          <w:sz w:val="22"/>
          <w:szCs w:val="22"/>
        </w:rPr>
      </w:pPr>
    </w:p>
    <w:p w14:paraId="3B7356EA" w14:textId="77777777" w:rsidR="00AC62F6" w:rsidRPr="00AC62F6" w:rsidRDefault="00AC62F6" w:rsidP="00AC62F6">
      <w:pPr>
        <w:pStyle w:val="NormalWeb"/>
        <w:spacing w:before="0" w:beforeAutospacing="0" w:after="0" w:afterAutospacing="0"/>
        <w:jc w:val="both"/>
        <w:rPr>
          <w:rFonts w:ascii="Verdana" w:hAnsi="Verdana" w:cs="Arial"/>
          <w:sz w:val="22"/>
          <w:szCs w:val="22"/>
        </w:rPr>
      </w:pPr>
      <w:r w:rsidRPr="00AC62F6">
        <w:rPr>
          <w:rFonts w:ascii="Verdana" w:hAnsi="Verdana" w:cs="Arial"/>
          <w:b/>
          <w:bCs/>
          <w:sz w:val="22"/>
          <w:szCs w:val="22"/>
        </w:rPr>
        <w:t>Art. 38</w:t>
      </w:r>
      <w:r w:rsidRPr="00AC62F6">
        <w:rPr>
          <w:rFonts w:ascii="Verdana" w:hAnsi="Verdana" w:cs="Arial"/>
          <w:sz w:val="22"/>
          <w:szCs w:val="22"/>
        </w:rPr>
        <w:t>. Para fins do disposto no § 3º do art. 16 da Lei Complementar nº 101/2000, são consideradas despesas irrelevantes aquelas cujo valor não ultrapasse os limites previstos nos incisos I e II do art. 24 da Lei nº 8.666/1993, nos casos, respectivamente, de obras e serviços de engenharia e de outros serviços e compras.</w:t>
      </w:r>
    </w:p>
    <w:p w14:paraId="52DA13F1" w14:textId="77777777" w:rsidR="00AC62F6" w:rsidRPr="00AC62F6" w:rsidRDefault="00AC62F6" w:rsidP="00AC62F6">
      <w:pPr>
        <w:pStyle w:val="NormalWeb"/>
        <w:spacing w:before="0" w:beforeAutospacing="0" w:after="0" w:afterAutospacing="0"/>
        <w:jc w:val="both"/>
        <w:rPr>
          <w:rFonts w:ascii="Verdana" w:hAnsi="Verdana" w:cs="Arial"/>
          <w:b/>
          <w:sz w:val="22"/>
          <w:szCs w:val="22"/>
        </w:rPr>
      </w:pPr>
    </w:p>
    <w:p w14:paraId="133BE297"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XV - Do Incentivo à Participação Popular</w:t>
      </w:r>
    </w:p>
    <w:p w14:paraId="7B706CC1"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23092745"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39</w:t>
      </w:r>
      <w:r w:rsidRPr="00AC62F6">
        <w:rPr>
          <w:rFonts w:ascii="Verdana" w:hAnsi="Verdana" w:cs="Arial"/>
          <w:sz w:val="22"/>
          <w:szCs w:val="22"/>
        </w:rPr>
        <w:t>. O projeto de lei orçamentária do Município, relativo ao exercício financeiro de 2024, deverá assegurar a transparência na elaboração e execução do orçamento.</w:t>
      </w:r>
    </w:p>
    <w:p w14:paraId="31343EFC"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Parágrafo único – O princípio da transparência implica, além da observância do princípio constitucional da publicidade, na utilização dos meios disponíveis para garantir o efetivo acesso dos munícipes às informações relativas ao orçamento.</w:t>
      </w:r>
    </w:p>
    <w:p w14:paraId="3C6116E0"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73B7543B"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b/>
          <w:bCs/>
          <w:sz w:val="22"/>
          <w:szCs w:val="22"/>
        </w:rPr>
        <w:t>Art. 40</w:t>
      </w:r>
      <w:r w:rsidRPr="00AC62F6">
        <w:rPr>
          <w:rFonts w:ascii="Verdana" w:hAnsi="Verdana" w:cs="Arial"/>
          <w:sz w:val="22"/>
          <w:szCs w:val="22"/>
        </w:rPr>
        <w:t>. Será assegurada ao cidadão a participação nas audiências públicas para:</w:t>
      </w:r>
    </w:p>
    <w:p w14:paraId="5B2758DD"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0F88F2D3"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r w:rsidRPr="00AC62F6">
        <w:rPr>
          <w:rFonts w:ascii="Verdana" w:hAnsi="Verdana" w:cs="Arial"/>
          <w:sz w:val="22"/>
          <w:szCs w:val="22"/>
        </w:rPr>
        <w:t>I – Elaboração da proposta orçamentária de 2024, mediante regular processo de consulta;</w:t>
      </w:r>
    </w:p>
    <w:p w14:paraId="13D848A5"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r w:rsidRPr="00AC62F6">
        <w:rPr>
          <w:rFonts w:ascii="Verdana" w:hAnsi="Verdana" w:cs="Arial"/>
          <w:sz w:val="22"/>
          <w:szCs w:val="22"/>
        </w:rPr>
        <w:t>II – Avaliação das metas fiscais, conforme definido no art. 9º, § 4º, da Lei Complementar nº 101/2000, ocasião em que o Poder Executivo demonstrará o comportamento das metas previstas nesta Lei.</w:t>
      </w:r>
    </w:p>
    <w:p w14:paraId="6B679A0F" w14:textId="77777777" w:rsidR="00AC62F6" w:rsidRPr="00AC62F6" w:rsidRDefault="00AC62F6" w:rsidP="00AC62F6">
      <w:pPr>
        <w:pStyle w:val="Blockquote"/>
        <w:tabs>
          <w:tab w:val="left" w:pos="9356"/>
        </w:tabs>
        <w:spacing w:before="0" w:after="0"/>
        <w:ind w:left="0" w:right="6"/>
        <w:jc w:val="both"/>
        <w:rPr>
          <w:rFonts w:ascii="Verdana" w:hAnsi="Verdana" w:cs="Arial"/>
          <w:b/>
          <w:sz w:val="22"/>
          <w:szCs w:val="22"/>
        </w:rPr>
      </w:pPr>
    </w:p>
    <w:p w14:paraId="008E3387" w14:textId="77777777" w:rsidR="00AC62F6" w:rsidRPr="00AC62F6" w:rsidRDefault="00AC62F6" w:rsidP="00AC62F6">
      <w:pPr>
        <w:pStyle w:val="Blockquote"/>
        <w:tabs>
          <w:tab w:val="left" w:pos="9356"/>
        </w:tabs>
        <w:spacing w:before="0" w:after="0"/>
        <w:ind w:left="0" w:right="6"/>
        <w:jc w:val="center"/>
        <w:rPr>
          <w:rFonts w:ascii="Verdana" w:hAnsi="Verdana" w:cs="Arial"/>
          <w:b/>
          <w:sz w:val="22"/>
          <w:szCs w:val="22"/>
        </w:rPr>
      </w:pPr>
      <w:r w:rsidRPr="00AC62F6">
        <w:rPr>
          <w:rFonts w:ascii="Verdana" w:hAnsi="Verdana" w:cs="Arial"/>
          <w:b/>
          <w:sz w:val="22"/>
          <w:szCs w:val="22"/>
        </w:rPr>
        <w:t>Capítulo XVI - Das Disposições Gerais</w:t>
      </w:r>
    </w:p>
    <w:p w14:paraId="6A5B821B" w14:textId="77777777" w:rsidR="00AC62F6" w:rsidRPr="00AC62F6" w:rsidRDefault="00AC62F6" w:rsidP="00AC62F6">
      <w:pPr>
        <w:pStyle w:val="Blockquote"/>
        <w:tabs>
          <w:tab w:val="left" w:pos="9356"/>
        </w:tabs>
        <w:spacing w:before="0" w:after="0"/>
        <w:ind w:left="0" w:right="6"/>
        <w:jc w:val="both"/>
        <w:rPr>
          <w:rFonts w:ascii="Verdana" w:hAnsi="Verdana" w:cs="Arial"/>
          <w:sz w:val="22"/>
          <w:szCs w:val="22"/>
        </w:rPr>
      </w:pPr>
    </w:p>
    <w:p w14:paraId="539B2B43"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41</w:t>
      </w:r>
      <w:r w:rsidRPr="00AC62F6">
        <w:rPr>
          <w:rFonts w:ascii="Verdana" w:hAnsi="Verdana" w:cs="Arial"/>
          <w:sz w:val="22"/>
          <w:szCs w:val="22"/>
        </w:rPr>
        <w:t>. Os Poderes Executivo e Legislativo poderão, mediante decreto, transpor, remanejar, transferir, total ou parcialmente, as dotações orçamentárias aprovadas na lei orçamentária de 2024 e em seus créditos adicionais, em decorrência de extinção, transformação, transferência, incorporação ou desmembramento de órgãos e entidades, bem como de alterações de suas competências ou atribuições, mantida a estrutura programática, expressa por categoria de programação, conforme definida no art. 3º, desta Lei.</w:t>
      </w:r>
    </w:p>
    <w:p w14:paraId="02D78C66" w14:textId="77777777" w:rsidR="00AC62F6" w:rsidRPr="00AC62F6" w:rsidRDefault="00AC62F6" w:rsidP="00AC62F6">
      <w:pPr>
        <w:jc w:val="both"/>
        <w:rPr>
          <w:rFonts w:ascii="Verdana" w:hAnsi="Verdana" w:cs="Arial"/>
          <w:sz w:val="22"/>
          <w:szCs w:val="22"/>
        </w:rPr>
      </w:pPr>
    </w:p>
    <w:p w14:paraId="2231DD7A"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lastRenderedPageBreak/>
        <w:t>§ 1º. Realizar a transposição, o remanejamento ou a transferência de recursos de uma categoria de programação para outra, ou de um órgão para outro:</w:t>
      </w:r>
    </w:p>
    <w:p w14:paraId="6E0A628B" w14:textId="77777777" w:rsidR="00AC62F6" w:rsidRPr="00AC62F6" w:rsidRDefault="00AC62F6" w:rsidP="00AC62F6">
      <w:pPr>
        <w:jc w:val="both"/>
        <w:rPr>
          <w:rFonts w:ascii="Verdana" w:hAnsi="Verdana" w:cs="Arial"/>
          <w:sz w:val="22"/>
          <w:szCs w:val="22"/>
        </w:rPr>
      </w:pPr>
    </w:p>
    <w:p w14:paraId="1F735B72"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I - Em decorrência da alteração na estrutura dos órgãos da administração e das entidades da administração indireta para atender às necessidades de execução, desde que verifica a inviabilidade técnica, operacional ou econômica de execução do crédito. </w:t>
      </w:r>
    </w:p>
    <w:p w14:paraId="2787DC16"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II – Para alterar ou incluir fontes de Destinação de recursos pertencentes à mesma classificação orçamentária em qualquer uma das dotações orçamentárias, inclusive aquelas codificações relacionadas com o superávit financeiro.</w:t>
      </w:r>
    </w:p>
    <w:p w14:paraId="22131043"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III – para realocar saldos dentro da mesma categoria de programação, criando quando necessário, novos elementos de despesas.</w:t>
      </w:r>
    </w:p>
    <w:p w14:paraId="50638CC4" w14:textId="77777777" w:rsidR="00AC62F6" w:rsidRPr="00AC62F6" w:rsidRDefault="00AC62F6" w:rsidP="00AC62F6">
      <w:pPr>
        <w:jc w:val="both"/>
        <w:rPr>
          <w:rFonts w:ascii="Verdana" w:hAnsi="Verdana" w:cs="Arial"/>
          <w:sz w:val="22"/>
          <w:szCs w:val="22"/>
        </w:rPr>
      </w:pPr>
    </w:p>
    <w:p w14:paraId="161C1E69"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2º. Fica o Poder Executivo autorizado a qualquer tempo a promover com atualização, alteração e compatibilização do orçamento com o planejamento, quando se tratar de reestimativa ou revisão dos valores dos programas constantes do PPA vigente.</w:t>
      </w:r>
    </w:p>
    <w:p w14:paraId="4FC76880" w14:textId="77777777" w:rsidR="00AC62F6" w:rsidRPr="00AC62F6" w:rsidRDefault="00AC62F6" w:rsidP="00AC62F6">
      <w:pPr>
        <w:jc w:val="both"/>
        <w:rPr>
          <w:rFonts w:ascii="Verdana" w:hAnsi="Verdana" w:cs="Arial"/>
          <w:sz w:val="22"/>
          <w:szCs w:val="22"/>
        </w:rPr>
      </w:pPr>
    </w:p>
    <w:p w14:paraId="3000E5D8"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42</w:t>
      </w:r>
      <w:r w:rsidRPr="00AC62F6">
        <w:rPr>
          <w:rFonts w:ascii="Verdana" w:hAnsi="Verdana" w:cs="Arial"/>
          <w:sz w:val="22"/>
          <w:szCs w:val="22"/>
        </w:rPr>
        <w:t>. A abertura de créditos suplementares e especiais dependerá de prévia autorização legislativa e da existência de recursos disponíveis para cobrir a despesa, nos termos da Lei nº 4.320/1964 e da Constituição da República.</w:t>
      </w:r>
    </w:p>
    <w:p w14:paraId="2D7E662A"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652212CD"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1º. A lei orçamentária conterá autorização e disporá sobre o limite para a abertura de créditos adicionais suplementares.</w:t>
      </w:r>
    </w:p>
    <w:p w14:paraId="67382F7E" w14:textId="77777777" w:rsidR="00AC62F6" w:rsidRPr="00AC62F6" w:rsidRDefault="00AC62F6" w:rsidP="00AC62F6">
      <w:pPr>
        <w:jc w:val="both"/>
        <w:rPr>
          <w:rFonts w:ascii="Verdana" w:hAnsi="Verdana" w:cs="Arial"/>
          <w:sz w:val="22"/>
          <w:szCs w:val="22"/>
        </w:rPr>
      </w:pPr>
      <w:r w:rsidRPr="00AC62F6">
        <w:rPr>
          <w:rFonts w:ascii="Verdana" w:hAnsi="Verdana" w:cs="Arial"/>
          <w:sz w:val="22"/>
          <w:szCs w:val="22"/>
        </w:rPr>
        <w:t xml:space="preserve">§ 2º. Respeitando a categoria de programação, os créditos adicionais suplementares poderão por meio de decreto incluir novos elementos de despesas e novas fontes e destinação de </w:t>
      </w:r>
      <w:proofErr w:type="gramStart"/>
      <w:r w:rsidRPr="00AC62F6">
        <w:rPr>
          <w:rFonts w:ascii="Verdana" w:hAnsi="Verdana" w:cs="Arial"/>
          <w:sz w:val="22"/>
          <w:szCs w:val="22"/>
        </w:rPr>
        <w:t>recursos(</w:t>
      </w:r>
      <w:proofErr w:type="gramEnd"/>
      <w:r w:rsidRPr="00AC62F6">
        <w:rPr>
          <w:rFonts w:ascii="Verdana" w:hAnsi="Verdana" w:cs="Arial"/>
          <w:sz w:val="22"/>
          <w:szCs w:val="22"/>
        </w:rPr>
        <w:t>DR).</w:t>
      </w:r>
    </w:p>
    <w:p w14:paraId="7182D9A0"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3E3BBB2"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43</w:t>
      </w:r>
      <w:r w:rsidRPr="00AC62F6">
        <w:rPr>
          <w:rFonts w:ascii="Verdana" w:hAnsi="Verdana" w:cs="Arial"/>
          <w:sz w:val="22"/>
          <w:szCs w:val="22"/>
        </w:rPr>
        <w:t>. A reabertura dos créditos especiais e extraordinários, conforme disposto no art. 167, § 2º, da Constituição da República, será efetivada mediante Decreto, utilizando os recursos previstos no art. 43 da Lei nº 4.320/1964.</w:t>
      </w:r>
    </w:p>
    <w:p w14:paraId="12A47D2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4B61DA58"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b/>
          <w:bCs/>
          <w:sz w:val="22"/>
          <w:szCs w:val="22"/>
        </w:rPr>
        <w:t>Art. 44</w:t>
      </w:r>
      <w:r w:rsidRPr="00AC62F6">
        <w:rPr>
          <w:rFonts w:ascii="Verdana" w:hAnsi="Verdana" w:cs="Arial"/>
          <w:sz w:val="22"/>
          <w:szCs w:val="22"/>
        </w:rPr>
        <w:t>.  O Poder Executivo poderá encaminhar mensagem ao Poder Legislativo para propor modificações no projeto de lei orçamentária anual, enquanto não iniciada a sua votação, no tocante as partes cuja alteração é proposta.</w:t>
      </w:r>
    </w:p>
    <w:p w14:paraId="04023D03"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p>
    <w:p w14:paraId="64EB43CD"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45</w:t>
      </w:r>
      <w:r w:rsidRPr="00AC62F6">
        <w:rPr>
          <w:rFonts w:ascii="Verdana" w:hAnsi="Verdana" w:cs="Arial"/>
          <w:sz w:val="22"/>
          <w:szCs w:val="22"/>
        </w:rPr>
        <w:t>.  Se o projeto de lei orçamentária de 2024 não for sancionado pelo Prefeito, até 31 de dezembro de 2023, ficam os Poderes instituídos no Município autorizados executar a proposta orçamentária na sua forma original até a sanção da respectiva Lei Orçamentária anual.</w:t>
      </w:r>
    </w:p>
    <w:p w14:paraId="3094F3A7" w14:textId="77777777" w:rsidR="00AC62F6" w:rsidRPr="00AC62F6" w:rsidRDefault="00AC62F6" w:rsidP="00AC62F6">
      <w:pPr>
        <w:jc w:val="both"/>
        <w:rPr>
          <w:rFonts w:ascii="Verdana" w:hAnsi="Verdana" w:cs="Arial"/>
          <w:sz w:val="22"/>
          <w:szCs w:val="22"/>
        </w:rPr>
      </w:pPr>
    </w:p>
    <w:p w14:paraId="5D5421E3"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46</w:t>
      </w:r>
      <w:r w:rsidRPr="00AC62F6">
        <w:rPr>
          <w:rFonts w:ascii="Verdana" w:hAnsi="Verdana" w:cs="Arial"/>
          <w:sz w:val="22"/>
          <w:szCs w:val="22"/>
        </w:rPr>
        <w:t>. Em atendimento ao disposto no art. 4º, §§ 1º, 2º e 3º da Lei Complementar nº 101/2000, integram a presente Lei os seguintes anexos:</w:t>
      </w:r>
    </w:p>
    <w:p w14:paraId="7FA4E198" w14:textId="77777777" w:rsidR="00AC62F6" w:rsidRPr="00AC62F6" w:rsidRDefault="00AC62F6" w:rsidP="00AC62F6">
      <w:pPr>
        <w:jc w:val="both"/>
        <w:rPr>
          <w:rFonts w:ascii="Verdana" w:hAnsi="Verdana" w:cs="Arial"/>
          <w:sz w:val="22"/>
          <w:szCs w:val="22"/>
        </w:rPr>
      </w:pPr>
    </w:p>
    <w:p w14:paraId="736F8624"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I – Anexo de Metas e Prioridades da Administração;</w:t>
      </w:r>
    </w:p>
    <w:p w14:paraId="187A1216"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lastRenderedPageBreak/>
        <w:t>II – Anexo de Riscos Fiscais.</w:t>
      </w:r>
    </w:p>
    <w:p w14:paraId="1E1484FA" w14:textId="77777777" w:rsidR="00AC62F6" w:rsidRPr="00AC62F6" w:rsidRDefault="00AC62F6" w:rsidP="00AC62F6">
      <w:pPr>
        <w:pStyle w:val="Blockquote"/>
        <w:tabs>
          <w:tab w:val="left" w:pos="9356"/>
        </w:tabs>
        <w:spacing w:before="0" w:after="0"/>
        <w:ind w:left="0" w:right="4"/>
        <w:jc w:val="both"/>
        <w:rPr>
          <w:rFonts w:ascii="Verdana" w:hAnsi="Verdana" w:cs="Arial"/>
          <w:sz w:val="22"/>
          <w:szCs w:val="22"/>
        </w:rPr>
      </w:pPr>
      <w:r w:rsidRPr="00AC62F6">
        <w:rPr>
          <w:rFonts w:ascii="Verdana" w:hAnsi="Verdana" w:cs="Arial"/>
          <w:sz w:val="22"/>
          <w:szCs w:val="22"/>
        </w:rPr>
        <w:t xml:space="preserve">III - Anexo de Metas Fiscais, que se compõe dos seguintes demonstrativos: </w:t>
      </w:r>
    </w:p>
    <w:p w14:paraId="143E1A07"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a) Metas anuais de receita e de despesa;</w:t>
      </w:r>
    </w:p>
    <w:p w14:paraId="2D7942A7"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b) Resultado primário e nominal;</w:t>
      </w:r>
    </w:p>
    <w:p w14:paraId="1FFEDEC8"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c) montante da dívida pública para o exercício de 2023 e dois seguintes;</w:t>
      </w:r>
    </w:p>
    <w:p w14:paraId="0FB55788"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 xml:space="preserve">d) avaliação do cumprimento das metas relativas ao ano anterior; </w:t>
      </w:r>
    </w:p>
    <w:p w14:paraId="3AEBAAB6"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e) Demonstrativo das metas anuais, instruído com memória e metodologia de cálculo que justifiquem os resultados pretendidos, comparando-as com as fixadas nos três exercícios anteriores, e evidenciando a consistência delas com as premissas e os objetivos da política econômica nacional;</w:t>
      </w:r>
    </w:p>
    <w:p w14:paraId="7E00EBB2"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f)  Evolução do patrimônio líquido, também nos últimos três exercícios, destacando a origem e a aplicação dos recursos obtidos com a alienação de ativos;</w:t>
      </w:r>
    </w:p>
    <w:p w14:paraId="045EF4DE"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r w:rsidRPr="00AC62F6">
        <w:rPr>
          <w:rFonts w:ascii="Verdana" w:hAnsi="Verdana" w:cs="Arial"/>
          <w:sz w:val="22"/>
          <w:szCs w:val="22"/>
        </w:rPr>
        <w:t>g) Demonstrativo da estimativa e compensação da renúncia de receita e da margem de expansão das despesas obrigatórias de caráter continuado.</w:t>
      </w:r>
    </w:p>
    <w:p w14:paraId="49E49D06" w14:textId="77777777" w:rsidR="00AC62F6" w:rsidRPr="00AC62F6" w:rsidRDefault="00AC62F6" w:rsidP="00AC62F6">
      <w:pPr>
        <w:pStyle w:val="Blockquote"/>
        <w:tabs>
          <w:tab w:val="left" w:pos="9356"/>
        </w:tabs>
        <w:spacing w:before="0" w:after="0"/>
        <w:ind w:right="4" w:firstLine="421"/>
        <w:jc w:val="both"/>
        <w:rPr>
          <w:rFonts w:ascii="Verdana" w:hAnsi="Verdana" w:cs="Arial"/>
          <w:sz w:val="22"/>
          <w:szCs w:val="22"/>
        </w:rPr>
      </w:pPr>
    </w:p>
    <w:p w14:paraId="6268C7BE"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Art. 47</w:t>
      </w:r>
      <w:r w:rsidRPr="00AC62F6">
        <w:rPr>
          <w:rFonts w:ascii="Verdana" w:hAnsi="Verdana"/>
          <w:sz w:val="22"/>
          <w:szCs w:val="22"/>
        </w:rPr>
        <w:t>.  Atendendo ao disposto no § 5º do Art.1º da Emenda nº04/2022, fica o Poder Executivo autorizado a destinar emenda de iniciativa Parlamentar à Lei Orçamentária.</w:t>
      </w:r>
    </w:p>
    <w:p w14:paraId="68C3B8AF" w14:textId="77777777" w:rsidR="00AC62F6" w:rsidRPr="00AC62F6" w:rsidRDefault="00AC62F6" w:rsidP="00AC62F6">
      <w:pPr>
        <w:ind w:firstLine="708"/>
        <w:jc w:val="both"/>
        <w:rPr>
          <w:rFonts w:ascii="Verdana" w:hAnsi="Verdana"/>
          <w:sz w:val="22"/>
          <w:szCs w:val="22"/>
        </w:rPr>
      </w:pPr>
    </w:p>
    <w:p w14:paraId="37910AA9"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Art. 48</w:t>
      </w:r>
      <w:r w:rsidRPr="00AC62F6">
        <w:rPr>
          <w:rFonts w:ascii="Verdana" w:hAnsi="Verdana"/>
          <w:sz w:val="22"/>
          <w:szCs w:val="22"/>
        </w:rPr>
        <w:t xml:space="preserve">. Conterá dotação de 1,2% (um inteiro e dois décimos por cento) da receita corrente líquida prevista no projeto encaminhado pelo Poder Executivo, a ser utilizada como fonte de recurso na dotação a classificar, para custeio das emendas impositivas, atendendo ao disposto no art. 5º da Lei Orgânica do Município de Córrego Fundo Emenda 04/2022. </w:t>
      </w:r>
    </w:p>
    <w:p w14:paraId="5252BD40" w14:textId="77777777" w:rsidR="00AC62F6" w:rsidRPr="00AC62F6" w:rsidRDefault="00AC62F6" w:rsidP="00AC62F6">
      <w:pPr>
        <w:jc w:val="both"/>
        <w:rPr>
          <w:rFonts w:ascii="Verdana" w:hAnsi="Verdana"/>
          <w:sz w:val="22"/>
          <w:szCs w:val="22"/>
        </w:rPr>
      </w:pPr>
    </w:p>
    <w:p w14:paraId="4B332182" w14:textId="214570BC" w:rsidR="00AC62F6" w:rsidRPr="00AC62F6" w:rsidRDefault="00AC62F6" w:rsidP="00AC62F6">
      <w:pPr>
        <w:jc w:val="both"/>
        <w:rPr>
          <w:rFonts w:ascii="Verdana" w:hAnsi="Verdana"/>
          <w:sz w:val="22"/>
          <w:szCs w:val="22"/>
        </w:rPr>
      </w:pPr>
      <w:r w:rsidRPr="00AC62F6">
        <w:rPr>
          <w:rFonts w:ascii="Verdana" w:hAnsi="Verdana"/>
          <w:b/>
          <w:bCs/>
          <w:sz w:val="22"/>
          <w:szCs w:val="22"/>
        </w:rPr>
        <w:t>Art. 49</w:t>
      </w:r>
      <w:r>
        <w:rPr>
          <w:rFonts w:ascii="Verdana" w:hAnsi="Verdana"/>
          <w:b/>
          <w:bCs/>
          <w:sz w:val="22"/>
          <w:szCs w:val="22"/>
        </w:rPr>
        <w:t>.</w:t>
      </w:r>
      <w:r w:rsidRPr="00AC62F6">
        <w:rPr>
          <w:rFonts w:ascii="Verdana" w:hAnsi="Verdana"/>
          <w:sz w:val="22"/>
          <w:szCs w:val="22"/>
        </w:rPr>
        <w:t xml:space="preserve"> O regime de execução das emendas individuais ao projeto de lei orçamentária de que tratam os $§ 9° a 18 do art. 166 da Constituição da República e art. 5º da Lei Orgânica Municipal atenderão ao disposto nesta Seção.</w:t>
      </w:r>
    </w:p>
    <w:p w14:paraId="0399493A" w14:textId="77777777" w:rsidR="00AC62F6" w:rsidRPr="00AC62F6" w:rsidRDefault="00AC62F6" w:rsidP="00AC62F6">
      <w:pPr>
        <w:jc w:val="both"/>
        <w:rPr>
          <w:rFonts w:ascii="Verdana" w:hAnsi="Verdana"/>
          <w:sz w:val="22"/>
          <w:szCs w:val="22"/>
        </w:rPr>
      </w:pPr>
    </w:p>
    <w:p w14:paraId="2A9AF71C"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Art. 50</w:t>
      </w:r>
      <w:r w:rsidRPr="00AC62F6">
        <w:rPr>
          <w:rFonts w:ascii="Verdana" w:hAnsi="Verdana"/>
          <w:sz w:val="22"/>
          <w:szCs w:val="22"/>
        </w:rPr>
        <w:t>. É obrigatória a execução orçamentária e financeira das emendas impositivas informadas pelo Poder Legislativo em sua integralidade e de forma impessoal, em ordem de execução que independe de autoria, com observância dos § 9° a 18° do art. 166 da Constituição da República e art. 5º da Lei Orgânica Municipal, salvo os casos de impedimento técnico.</w:t>
      </w:r>
    </w:p>
    <w:p w14:paraId="1606BA20" w14:textId="77777777" w:rsidR="00AC62F6" w:rsidRPr="00AC62F6" w:rsidRDefault="00AC62F6" w:rsidP="00AC62F6">
      <w:pPr>
        <w:jc w:val="both"/>
        <w:rPr>
          <w:rFonts w:ascii="Verdana" w:hAnsi="Verdana"/>
          <w:sz w:val="22"/>
          <w:szCs w:val="22"/>
        </w:rPr>
      </w:pPr>
    </w:p>
    <w:p w14:paraId="1B1F2602"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 1</w:t>
      </w:r>
      <w:r w:rsidRPr="00AC62F6">
        <w:rPr>
          <w:rFonts w:ascii="Verdana" w:hAnsi="Verdana"/>
          <w:sz w:val="22"/>
          <w:szCs w:val="22"/>
        </w:rPr>
        <w:t xml:space="preserve">° Considera-se execução orçamentária e financeira das emendas impositivas, as fases de empenho, liquidação e pagamento, em concordância com os </w:t>
      </w:r>
      <w:proofErr w:type="spellStart"/>
      <w:r w:rsidRPr="00AC62F6">
        <w:rPr>
          <w:rFonts w:ascii="Verdana" w:hAnsi="Verdana"/>
          <w:sz w:val="22"/>
          <w:szCs w:val="22"/>
        </w:rPr>
        <w:t>arts</w:t>
      </w:r>
      <w:proofErr w:type="spellEnd"/>
      <w:r w:rsidRPr="00AC62F6">
        <w:rPr>
          <w:rFonts w:ascii="Verdana" w:hAnsi="Verdana"/>
          <w:sz w:val="22"/>
          <w:szCs w:val="22"/>
        </w:rPr>
        <w:t>. 58, 63 e 62 da Lei Nacional n° 4.320, de 1964.</w:t>
      </w:r>
    </w:p>
    <w:p w14:paraId="1501E00A" w14:textId="77777777" w:rsidR="00AC62F6" w:rsidRPr="00AC62F6" w:rsidRDefault="00AC62F6" w:rsidP="00AC62F6">
      <w:pPr>
        <w:jc w:val="both"/>
        <w:rPr>
          <w:rFonts w:ascii="Verdana" w:hAnsi="Verdana"/>
          <w:sz w:val="22"/>
          <w:szCs w:val="22"/>
        </w:rPr>
      </w:pPr>
    </w:p>
    <w:p w14:paraId="03FC93C9"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 2</w:t>
      </w:r>
      <w:r w:rsidRPr="00AC62F6">
        <w:rPr>
          <w:rFonts w:ascii="Verdana" w:hAnsi="Verdana"/>
          <w:sz w:val="22"/>
          <w:szCs w:val="22"/>
        </w:rPr>
        <w:t>° A determinação do caput fica suspensa em caso de estado de emergência ou Calamidade</w:t>
      </w:r>
    </w:p>
    <w:p w14:paraId="0BBE49AF" w14:textId="77777777" w:rsidR="00AC62F6" w:rsidRPr="00AC62F6" w:rsidRDefault="00AC62F6" w:rsidP="00AC62F6">
      <w:pPr>
        <w:jc w:val="both"/>
        <w:rPr>
          <w:rFonts w:ascii="Verdana" w:hAnsi="Verdana"/>
          <w:sz w:val="22"/>
          <w:szCs w:val="22"/>
        </w:rPr>
      </w:pPr>
      <w:r w:rsidRPr="00AC62F6">
        <w:rPr>
          <w:rFonts w:ascii="Verdana" w:hAnsi="Verdana"/>
          <w:sz w:val="22"/>
          <w:szCs w:val="22"/>
        </w:rPr>
        <w:t>Pública.</w:t>
      </w:r>
    </w:p>
    <w:p w14:paraId="1E1D72E0" w14:textId="77777777" w:rsidR="00AC62F6" w:rsidRPr="00AC62F6" w:rsidRDefault="00AC62F6" w:rsidP="00AC62F6">
      <w:pPr>
        <w:jc w:val="both"/>
        <w:rPr>
          <w:rFonts w:ascii="Verdana" w:hAnsi="Verdana"/>
          <w:sz w:val="22"/>
          <w:szCs w:val="22"/>
        </w:rPr>
      </w:pPr>
    </w:p>
    <w:p w14:paraId="6ACCCCF8"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lastRenderedPageBreak/>
        <w:t>Art.51.</w:t>
      </w:r>
      <w:r w:rsidRPr="00AC62F6">
        <w:rPr>
          <w:rFonts w:ascii="Verdana" w:hAnsi="Verdana"/>
          <w:sz w:val="22"/>
          <w:szCs w:val="22"/>
        </w:rPr>
        <w:t xml:space="preserve"> A proposta de Lei Orçamentária para o ano de 2024 consignará o montante de 1,2% (um inteiro e dois décimos por cento) da receita corrente líquida prevista no projeto encaminhado pelo Poder Executivo.</w:t>
      </w:r>
    </w:p>
    <w:p w14:paraId="4DE03EE1" w14:textId="77777777" w:rsidR="00AC62F6" w:rsidRPr="00AC62F6" w:rsidRDefault="00AC62F6" w:rsidP="00AC62F6">
      <w:pPr>
        <w:jc w:val="both"/>
        <w:rPr>
          <w:rFonts w:ascii="Verdana" w:hAnsi="Verdana"/>
          <w:sz w:val="22"/>
          <w:szCs w:val="22"/>
        </w:rPr>
      </w:pPr>
    </w:p>
    <w:p w14:paraId="2ED91016"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Parágrafo Único</w:t>
      </w:r>
      <w:r w:rsidRPr="00AC62F6">
        <w:rPr>
          <w:rFonts w:ascii="Verdana" w:hAnsi="Verdana"/>
          <w:sz w:val="22"/>
          <w:szCs w:val="22"/>
        </w:rPr>
        <w:t>. A Controladoria Geral do Município, até o dia 3 de outubro de 2023, informará a Câmara Municipal os valores referentes ao Montante de 1,2% (um inteiro e dois décimos por cento) sobre a Receita Corrente Líquida da Prefeitura prevista no projeto de Lei de Diretrizes Orçamentária para 2024.</w:t>
      </w:r>
    </w:p>
    <w:p w14:paraId="584AE75E" w14:textId="77777777" w:rsidR="00AC62F6" w:rsidRPr="00AC62F6" w:rsidRDefault="00AC62F6" w:rsidP="00AC62F6">
      <w:pPr>
        <w:jc w:val="both"/>
        <w:rPr>
          <w:rFonts w:ascii="Verdana" w:hAnsi="Verdana"/>
          <w:sz w:val="22"/>
          <w:szCs w:val="22"/>
        </w:rPr>
      </w:pPr>
    </w:p>
    <w:p w14:paraId="4C9AF703"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Art. 52.</w:t>
      </w:r>
      <w:r w:rsidRPr="00AC62F6">
        <w:rPr>
          <w:rFonts w:ascii="Verdana" w:hAnsi="Verdana"/>
          <w:sz w:val="22"/>
          <w:szCs w:val="22"/>
        </w:rPr>
        <w:t xml:space="preserve"> A Câmara Municipal informará ao Poder Executivo as emendas individuais impositivas na forma dos Anexos na lei, com os dados da entidade, as ações e valores de cada Vereador, aprovadas pelo Plenário e em conformidade com a distribuição equitativa entre os vereadores, para que sejam </w:t>
      </w:r>
      <w:proofErr w:type="gramStart"/>
      <w:r w:rsidRPr="00AC62F6">
        <w:rPr>
          <w:rFonts w:ascii="Verdana" w:hAnsi="Verdana"/>
          <w:sz w:val="22"/>
          <w:szCs w:val="22"/>
        </w:rPr>
        <w:t>inseridas</w:t>
      </w:r>
      <w:proofErr w:type="gramEnd"/>
      <w:r w:rsidRPr="00AC62F6">
        <w:rPr>
          <w:rFonts w:ascii="Verdana" w:hAnsi="Verdana"/>
          <w:sz w:val="22"/>
          <w:szCs w:val="22"/>
        </w:rPr>
        <w:t xml:space="preserve"> mas respectivas dotações na Lei Orçamentária para o ano de 2024</w:t>
      </w:r>
    </w:p>
    <w:p w14:paraId="7002FD36" w14:textId="77777777" w:rsidR="00AC62F6" w:rsidRPr="00AC62F6" w:rsidRDefault="00AC62F6" w:rsidP="00AC62F6">
      <w:pPr>
        <w:jc w:val="both"/>
        <w:rPr>
          <w:rFonts w:ascii="Verdana" w:hAnsi="Verdana"/>
          <w:sz w:val="22"/>
          <w:szCs w:val="22"/>
        </w:rPr>
      </w:pPr>
    </w:p>
    <w:p w14:paraId="3DB8F9A0"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 1°</w:t>
      </w:r>
      <w:r w:rsidRPr="00AC62F6">
        <w:rPr>
          <w:rFonts w:ascii="Verdana" w:hAnsi="Verdana"/>
          <w:sz w:val="22"/>
          <w:szCs w:val="22"/>
        </w:rPr>
        <w:t xml:space="preserve"> As emendas individuais impositivas devem ser compatíveis com o Plano Plurianual e/ou com as metas e prioridades colacionadas na Lei de Diretrizes Orçamentárias;</w:t>
      </w:r>
    </w:p>
    <w:p w14:paraId="7C4D5673" w14:textId="77777777" w:rsidR="00AC62F6" w:rsidRPr="00AC62F6" w:rsidRDefault="00AC62F6" w:rsidP="00AC62F6">
      <w:pPr>
        <w:jc w:val="both"/>
        <w:rPr>
          <w:rFonts w:ascii="Verdana" w:hAnsi="Verdana"/>
          <w:sz w:val="22"/>
          <w:szCs w:val="22"/>
        </w:rPr>
      </w:pPr>
    </w:p>
    <w:p w14:paraId="3DFA6620"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 2°</w:t>
      </w:r>
      <w:r w:rsidRPr="00AC62F6">
        <w:rPr>
          <w:rFonts w:ascii="Verdana" w:hAnsi="Verdana"/>
          <w:sz w:val="22"/>
          <w:szCs w:val="22"/>
        </w:rPr>
        <w:t xml:space="preserve"> Cada vereador deverá indicar 50% (cinquenta por cento) da sua emenda individual</w:t>
      </w:r>
    </w:p>
    <w:p w14:paraId="4A2CA647" w14:textId="77777777" w:rsidR="00AC62F6" w:rsidRPr="00AC62F6" w:rsidRDefault="00AC62F6" w:rsidP="00AC62F6">
      <w:pPr>
        <w:jc w:val="both"/>
        <w:rPr>
          <w:rFonts w:ascii="Verdana" w:hAnsi="Verdana"/>
          <w:sz w:val="22"/>
          <w:szCs w:val="22"/>
        </w:rPr>
      </w:pPr>
      <w:r w:rsidRPr="00AC62F6">
        <w:rPr>
          <w:rFonts w:ascii="Verdana" w:hAnsi="Verdana"/>
          <w:sz w:val="22"/>
          <w:szCs w:val="22"/>
        </w:rPr>
        <w:t>obrigatoriamente para ações e serviços públicos de saúde.</w:t>
      </w:r>
    </w:p>
    <w:p w14:paraId="2DF3C4AA" w14:textId="77777777" w:rsidR="00AC62F6" w:rsidRPr="00AC62F6" w:rsidRDefault="00AC62F6" w:rsidP="00AC62F6">
      <w:pPr>
        <w:jc w:val="both"/>
        <w:rPr>
          <w:rFonts w:ascii="Verdana" w:hAnsi="Verdana"/>
          <w:sz w:val="22"/>
          <w:szCs w:val="22"/>
        </w:rPr>
      </w:pPr>
    </w:p>
    <w:p w14:paraId="7BCC838C"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 3</w:t>
      </w:r>
      <w:r w:rsidRPr="00AC62F6">
        <w:rPr>
          <w:rFonts w:ascii="Verdana" w:hAnsi="Verdana"/>
          <w:sz w:val="22"/>
          <w:szCs w:val="22"/>
        </w:rPr>
        <w:t xml:space="preserve"> ° O Poder Executivo deverá priorizar o pagamento das ações previstas salvo por motivos de impedimentos de ordem técnica e legal.</w:t>
      </w:r>
    </w:p>
    <w:p w14:paraId="6FDF913C" w14:textId="77777777" w:rsidR="00AC62F6" w:rsidRPr="00AC62F6" w:rsidRDefault="00AC62F6" w:rsidP="00AC62F6">
      <w:pPr>
        <w:jc w:val="both"/>
        <w:rPr>
          <w:rFonts w:ascii="Verdana" w:hAnsi="Verdana"/>
          <w:sz w:val="22"/>
          <w:szCs w:val="22"/>
        </w:rPr>
      </w:pPr>
    </w:p>
    <w:p w14:paraId="6ED3A2E8" w14:textId="77777777" w:rsidR="00AC62F6" w:rsidRPr="00AC62F6" w:rsidRDefault="00AC62F6" w:rsidP="00AC62F6">
      <w:pPr>
        <w:jc w:val="both"/>
        <w:rPr>
          <w:rFonts w:ascii="Verdana" w:hAnsi="Verdana"/>
          <w:sz w:val="22"/>
          <w:szCs w:val="22"/>
        </w:rPr>
      </w:pPr>
      <w:r w:rsidRPr="00AC62F6">
        <w:rPr>
          <w:rFonts w:ascii="Verdana" w:hAnsi="Verdana"/>
          <w:b/>
          <w:bCs/>
          <w:sz w:val="22"/>
          <w:szCs w:val="22"/>
        </w:rPr>
        <w:t>Art. 53.</w:t>
      </w:r>
      <w:r w:rsidRPr="00AC62F6">
        <w:rPr>
          <w:rFonts w:ascii="Verdana" w:hAnsi="Verdana"/>
          <w:sz w:val="22"/>
          <w:szCs w:val="22"/>
        </w:rPr>
        <w:t xml:space="preserve"> São impedimentos de ordem técnica nas emendas individuais impositivas:</w:t>
      </w:r>
    </w:p>
    <w:p w14:paraId="481D7EB7"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I - </w:t>
      </w:r>
      <w:proofErr w:type="gramStart"/>
      <w:r w:rsidRPr="00AC62F6">
        <w:rPr>
          <w:rFonts w:ascii="Verdana" w:hAnsi="Verdana"/>
          <w:sz w:val="22"/>
          <w:szCs w:val="22"/>
        </w:rPr>
        <w:t>não</w:t>
      </w:r>
      <w:proofErr w:type="gramEnd"/>
      <w:r w:rsidRPr="00AC62F6">
        <w:rPr>
          <w:rFonts w:ascii="Verdana" w:hAnsi="Verdana"/>
          <w:sz w:val="22"/>
          <w:szCs w:val="22"/>
        </w:rPr>
        <w:t xml:space="preserve"> indicação da ação e respectivo valor por parte do autor da emenda individual</w:t>
      </w:r>
    </w:p>
    <w:p w14:paraId="2E9303A1" w14:textId="77777777" w:rsidR="00AC62F6" w:rsidRPr="00AC62F6" w:rsidRDefault="00AC62F6" w:rsidP="00AC62F6">
      <w:pPr>
        <w:jc w:val="both"/>
        <w:rPr>
          <w:rFonts w:ascii="Verdana" w:hAnsi="Verdana"/>
          <w:sz w:val="22"/>
          <w:szCs w:val="22"/>
        </w:rPr>
      </w:pPr>
      <w:r w:rsidRPr="00AC62F6">
        <w:rPr>
          <w:rFonts w:ascii="Verdana" w:hAnsi="Verdana"/>
          <w:sz w:val="22"/>
          <w:szCs w:val="22"/>
        </w:rPr>
        <w:t>impositiva;</w:t>
      </w:r>
    </w:p>
    <w:p w14:paraId="58FF0676"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II - </w:t>
      </w:r>
      <w:proofErr w:type="gramStart"/>
      <w:r w:rsidRPr="00AC62F6">
        <w:rPr>
          <w:rFonts w:ascii="Verdana" w:hAnsi="Verdana"/>
          <w:sz w:val="22"/>
          <w:szCs w:val="22"/>
        </w:rPr>
        <w:t>inadimplência</w:t>
      </w:r>
      <w:proofErr w:type="gramEnd"/>
      <w:r w:rsidRPr="00AC62F6">
        <w:rPr>
          <w:rFonts w:ascii="Verdana" w:hAnsi="Verdana"/>
          <w:sz w:val="22"/>
          <w:szCs w:val="22"/>
        </w:rPr>
        <w:t>, por qualquer motivo, de Organização da Sociedade Civil, Beneficiária de recursos públicos através da emenda individual impositiva;</w:t>
      </w:r>
    </w:p>
    <w:p w14:paraId="4AA7C7F0"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III - desistência do autor da emenda individual impositiva;</w:t>
      </w:r>
    </w:p>
    <w:p w14:paraId="21AE31AF"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IV - </w:t>
      </w:r>
      <w:proofErr w:type="gramStart"/>
      <w:r w:rsidRPr="00AC62F6">
        <w:rPr>
          <w:rFonts w:ascii="Verdana" w:hAnsi="Verdana"/>
          <w:sz w:val="22"/>
          <w:szCs w:val="22"/>
        </w:rPr>
        <w:t>incompatibilidade</w:t>
      </w:r>
      <w:proofErr w:type="gramEnd"/>
      <w:r w:rsidRPr="00AC62F6">
        <w:rPr>
          <w:rFonts w:ascii="Verdana" w:hAnsi="Verdana"/>
          <w:sz w:val="22"/>
          <w:szCs w:val="22"/>
        </w:rPr>
        <w:t xml:space="preserve"> do objeto da emenda individual impositiva com o Plano</w:t>
      </w:r>
    </w:p>
    <w:p w14:paraId="32B4C4D7" w14:textId="77777777" w:rsidR="00AC62F6" w:rsidRPr="00AC62F6" w:rsidRDefault="00AC62F6" w:rsidP="00AC62F6">
      <w:pPr>
        <w:jc w:val="both"/>
        <w:rPr>
          <w:rFonts w:ascii="Verdana" w:hAnsi="Verdana"/>
          <w:sz w:val="22"/>
          <w:szCs w:val="22"/>
        </w:rPr>
      </w:pPr>
      <w:r w:rsidRPr="00AC62F6">
        <w:rPr>
          <w:rFonts w:ascii="Verdana" w:hAnsi="Verdana"/>
          <w:sz w:val="22"/>
          <w:szCs w:val="22"/>
        </w:rPr>
        <w:t>Plurianual e /ou com as metas e prioridades colacionadas na Lei Diretrizes Orçamentárias;</w:t>
      </w:r>
    </w:p>
    <w:p w14:paraId="5BF043C5"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V - </w:t>
      </w:r>
      <w:proofErr w:type="gramStart"/>
      <w:r w:rsidRPr="00AC62F6">
        <w:rPr>
          <w:rFonts w:ascii="Verdana" w:hAnsi="Verdana"/>
          <w:sz w:val="22"/>
          <w:szCs w:val="22"/>
        </w:rPr>
        <w:t>incompatibilidade</w:t>
      </w:r>
      <w:proofErr w:type="gramEnd"/>
      <w:r w:rsidRPr="00AC62F6">
        <w:rPr>
          <w:rFonts w:ascii="Verdana" w:hAnsi="Verdana"/>
          <w:sz w:val="22"/>
          <w:szCs w:val="22"/>
        </w:rPr>
        <w:t xml:space="preserve"> do objeto da emenda individual impositiva com serviço público de áreas de interesse, tais como educação, saúde, assistência social, cultura;</w:t>
      </w:r>
    </w:p>
    <w:p w14:paraId="2B64CA57"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VI - </w:t>
      </w:r>
      <w:proofErr w:type="gramStart"/>
      <w:r w:rsidRPr="00AC62F6">
        <w:rPr>
          <w:rFonts w:ascii="Verdana" w:hAnsi="Verdana"/>
          <w:sz w:val="22"/>
          <w:szCs w:val="22"/>
        </w:rPr>
        <w:t>exíguo</w:t>
      </w:r>
      <w:proofErr w:type="gramEnd"/>
      <w:r w:rsidRPr="00AC62F6">
        <w:rPr>
          <w:rFonts w:ascii="Verdana" w:hAnsi="Verdana"/>
          <w:sz w:val="22"/>
          <w:szCs w:val="22"/>
        </w:rPr>
        <w:t xml:space="preserve"> o prazo para o processamento da despesa relativa à emenda individual</w:t>
      </w:r>
    </w:p>
    <w:p w14:paraId="54B3230D" w14:textId="77777777" w:rsidR="00AC62F6" w:rsidRPr="00AC62F6" w:rsidRDefault="00AC62F6" w:rsidP="00AC62F6">
      <w:pPr>
        <w:jc w:val="both"/>
        <w:rPr>
          <w:rFonts w:ascii="Verdana" w:hAnsi="Verdana"/>
          <w:sz w:val="22"/>
          <w:szCs w:val="22"/>
        </w:rPr>
      </w:pPr>
      <w:r w:rsidRPr="00AC62F6">
        <w:rPr>
          <w:rFonts w:ascii="Verdana" w:hAnsi="Verdana"/>
          <w:sz w:val="22"/>
          <w:szCs w:val="22"/>
        </w:rPr>
        <w:t>impositiva;</w:t>
      </w:r>
    </w:p>
    <w:p w14:paraId="77549372" w14:textId="77777777" w:rsidR="00AC62F6" w:rsidRPr="00AC62F6" w:rsidRDefault="00AC62F6" w:rsidP="00AC62F6">
      <w:pPr>
        <w:jc w:val="both"/>
        <w:rPr>
          <w:rFonts w:ascii="Verdana" w:hAnsi="Verdana"/>
          <w:sz w:val="22"/>
          <w:szCs w:val="22"/>
        </w:rPr>
      </w:pPr>
      <w:r w:rsidRPr="00AC62F6">
        <w:rPr>
          <w:rFonts w:ascii="Verdana" w:hAnsi="Verdana"/>
          <w:sz w:val="22"/>
          <w:szCs w:val="22"/>
        </w:rPr>
        <w:t xml:space="preserve">             VII - incompatibilidade entre o valor da emenda individual impositiva e o valor estimado da despesa com diferença de 20% (vinte por cento) ou mais;</w:t>
      </w:r>
    </w:p>
    <w:p w14:paraId="02A96192" w14:textId="77777777" w:rsidR="00AC62F6" w:rsidRPr="00AC62F6" w:rsidRDefault="00AC62F6" w:rsidP="00AC62F6">
      <w:pPr>
        <w:jc w:val="both"/>
        <w:rPr>
          <w:rFonts w:ascii="Verdana" w:hAnsi="Verdana"/>
          <w:sz w:val="22"/>
          <w:szCs w:val="22"/>
        </w:rPr>
      </w:pPr>
      <w:r w:rsidRPr="00AC62F6">
        <w:rPr>
          <w:rFonts w:ascii="Verdana" w:hAnsi="Verdana"/>
          <w:sz w:val="22"/>
          <w:szCs w:val="22"/>
        </w:rPr>
        <w:lastRenderedPageBreak/>
        <w:t xml:space="preserve">              VIII - no caso de emendas relativas à execução de obras com incompatibilidade do valor proposto com o cronograma físico-financeiro de execução do projeto!</w:t>
      </w:r>
    </w:p>
    <w:p w14:paraId="3710D9E8" w14:textId="77777777" w:rsidR="00AC62F6" w:rsidRPr="00AC62F6" w:rsidRDefault="00AC62F6" w:rsidP="00AC62F6">
      <w:pPr>
        <w:jc w:val="both"/>
        <w:rPr>
          <w:rFonts w:ascii="Verdana" w:hAnsi="Verdana"/>
          <w:sz w:val="22"/>
          <w:szCs w:val="22"/>
        </w:rPr>
      </w:pPr>
    </w:p>
    <w:p w14:paraId="1C847825" w14:textId="77777777" w:rsidR="00AC62F6" w:rsidRPr="00AC62F6" w:rsidRDefault="00AC62F6" w:rsidP="00AC62F6">
      <w:pPr>
        <w:spacing w:line="276" w:lineRule="auto"/>
        <w:jc w:val="both"/>
        <w:rPr>
          <w:rFonts w:ascii="Verdana" w:hAnsi="Verdana"/>
          <w:sz w:val="22"/>
          <w:szCs w:val="22"/>
        </w:rPr>
      </w:pPr>
      <w:r w:rsidRPr="00AC62F6">
        <w:rPr>
          <w:rFonts w:ascii="Verdana" w:hAnsi="Verdana"/>
          <w:b/>
          <w:bCs/>
          <w:sz w:val="22"/>
          <w:szCs w:val="22"/>
        </w:rPr>
        <w:t>Art. 54.</w:t>
      </w:r>
      <w:r w:rsidRPr="00AC62F6">
        <w:rPr>
          <w:rFonts w:ascii="Verdana" w:hAnsi="Verdana"/>
          <w:sz w:val="22"/>
          <w:szCs w:val="22"/>
        </w:rPr>
        <w:t xml:space="preserve"> No caso de impedimento de ordem técnica no cumprimento da execução orçamentária e financeira das programações incluídas por emendas individuais, serão adotadas as seguintes medidas:</w:t>
      </w:r>
    </w:p>
    <w:p w14:paraId="2101EC46"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 - </w:t>
      </w:r>
      <w:proofErr w:type="gramStart"/>
      <w:r w:rsidRPr="00AC62F6">
        <w:rPr>
          <w:rFonts w:ascii="Verdana" w:hAnsi="Verdana"/>
          <w:sz w:val="22"/>
          <w:szCs w:val="22"/>
        </w:rPr>
        <w:t>até</w:t>
      </w:r>
      <w:proofErr w:type="gramEnd"/>
      <w:r w:rsidRPr="00AC62F6">
        <w:rPr>
          <w:rFonts w:ascii="Verdana" w:hAnsi="Verdana"/>
          <w:sz w:val="22"/>
          <w:szCs w:val="22"/>
        </w:rPr>
        <w:t xml:space="preserve"> 120 (cento e vinte) após a publicação da lei orçamentária, o Poder Executivo</w:t>
      </w:r>
    </w:p>
    <w:p w14:paraId="61D2022F"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enviará ao Poder Legislativo as justificativas do impedimento;</w:t>
      </w:r>
    </w:p>
    <w:p w14:paraId="50AAAD39"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II - </w:t>
      </w:r>
      <w:proofErr w:type="gramStart"/>
      <w:r w:rsidRPr="00AC62F6">
        <w:rPr>
          <w:rFonts w:ascii="Verdana" w:hAnsi="Verdana"/>
          <w:sz w:val="22"/>
          <w:szCs w:val="22"/>
        </w:rPr>
        <w:t>até</w:t>
      </w:r>
      <w:proofErr w:type="gramEnd"/>
      <w:r w:rsidRPr="00AC62F6">
        <w:rPr>
          <w:rFonts w:ascii="Verdana" w:hAnsi="Verdana"/>
          <w:sz w:val="22"/>
          <w:szCs w:val="22"/>
        </w:rPr>
        <w:t xml:space="preserve"> 30 (trinta) dias após o término do prazo previsto no inciso I deste artigo, o Poder Legislativo indicará ao Poder Executivo o remanejamento da programação cujo impedimento seja insuperável, através de envio de novo formulário conforme Anexo I;</w:t>
      </w:r>
    </w:p>
    <w:p w14:paraId="3EC44FFB"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III - até 30 (trinta) dias após o prazo previsto no inciso Il deste artigo, o Poder Executivo encaminhará projeto de lei sobre o remanejamento da programação cujo o impedimento seja insuperável;</w:t>
      </w:r>
    </w:p>
    <w:p w14:paraId="0C3D15B8"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IV - </w:t>
      </w:r>
      <w:proofErr w:type="gramStart"/>
      <w:r w:rsidRPr="00AC62F6">
        <w:rPr>
          <w:rFonts w:ascii="Verdana" w:hAnsi="Verdana"/>
          <w:sz w:val="22"/>
          <w:szCs w:val="22"/>
        </w:rPr>
        <w:t>se</w:t>
      </w:r>
      <w:proofErr w:type="gramEnd"/>
      <w:r w:rsidRPr="00AC62F6">
        <w:rPr>
          <w:rFonts w:ascii="Verdana" w:hAnsi="Verdana"/>
          <w:sz w:val="22"/>
          <w:szCs w:val="22"/>
        </w:rPr>
        <w:t xml:space="preserve"> até 30(trinta) dias após o término do prazo previsto no inciso III deste artigo, o Poder Legislativo não deliberar sobre o projeto, o remanejamento será implementado por ato do Poder Executivo, nos termos previstos na lei orçamentária;</w:t>
      </w:r>
    </w:p>
    <w:p w14:paraId="1E76FCE7"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V - </w:t>
      </w:r>
      <w:proofErr w:type="gramStart"/>
      <w:r w:rsidRPr="00AC62F6">
        <w:rPr>
          <w:rFonts w:ascii="Verdana" w:hAnsi="Verdana"/>
          <w:sz w:val="22"/>
          <w:szCs w:val="22"/>
        </w:rPr>
        <w:t>após</w:t>
      </w:r>
      <w:proofErr w:type="gramEnd"/>
      <w:r w:rsidRPr="00AC62F6">
        <w:rPr>
          <w:rFonts w:ascii="Verdana" w:hAnsi="Verdana"/>
          <w:sz w:val="22"/>
          <w:szCs w:val="22"/>
        </w:rPr>
        <w:t xml:space="preserve"> o prazo previsto no inciso IV deste artigo, as programações orçamentárias incluídas por emendas individuais do Poder Legislativo não serão de execução obrigatória nos casos dos impedimentos justificados.</w:t>
      </w:r>
    </w:p>
    <w:p w14:paraId="55D0E137" w14:textId="77777777" w:rsidR="00AC62F6" w:rsidRPr="00AC62F6" w:rsidRDefault="00AC62F6" w:rsidP="00AC62F6">
      <w:pPr>
        <w:spacing w:line="276" w:lineRule="auto"/>
        <w:jc w:val="both"/>
        <w:rPr>
          <w:rFonts w:ascii="Verdana" w:hAnsi="Verdana"/>
          <w:sz w:val="22"/>
          <w:szCs w:val="22"/>
        </w:rPr>
      </w:pPr>
    </w:p>
    <w:p w14:paraId="495CD6C4" w14:textId="77777777" w:rsidR="00AC62F6" w:rsidRPr="00AC62F6" w:rsidRDefault="00AC62F6" w:rsidP="00AC62F6">
      <w:pPr>
        <w:spacing w:line="276" w:lineRule="auto"/>
        <w:jc w:val="both"/>
        <w:rPr>
          <w:rFonts w:ascii="Verdana" w:hAnsi="Verdana"/>
          <w:sz w:val="22"/>
          <w:szCs w:val="22"/>
        </w:rPr>
      </w:pPr>
      <w:r w:rsidRPr="00AC62F6">
        <w:rPr>
          <w:rFonts w:ascii="Verdana" w:hAnsi="Verdana"/>
          <w:b/>
          <w:bCs/>
          <w:sz w:val="22"/>
          <w:szCs w:val="22"/>
        </w:rPr>
        <w:t>Art. 55</w:t>
      </w:r>
      <w:r w:rsidRPr="00AC62F6">
        <w:rPr>
          <w:rFonts w:ascii="Verdana" w:hAnsi="Verdana"/>
          <w:sz w:val="22"/>
          <w:szCs w:val="22"/>
        </w:rPr>
        <w:t>. Da execução, do acompanhamento e da prestação de contas as emendas:</w:t>
      </w:r>
    </w:p>
    <w:p w14:paraId="09A80A9A"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 - </w:t>
      </w:r>
      <w:proofErr w:type="gramStart"/>
      <w:r w:rsidRPr="00AC62F6">
        <w:rPr>
          <w:rFonts w:ascii="Verdana" w:hAnsi="Verdana"/>
          <w:sz w:val="22"/>
          <w:szCs w:val="22"/>
        </w:rPr>
        <w:t>a</w:t>
      </w:r>
      <w:proofErr w:type="gramEnd"/>
      <w:r w:rsidRPr="00AC62F6">
        <w:rPr>
          <w:rFonts w:ascii="Verdana" w:hAnsi="Verdana"/>
          <w:sz w:val="22"/>
          <w:szCs w:val="22"/>
        </w:rPr>
        <w:t xml:space="preserve"> entidade deverá ter seu plano de trabalho aprovado pelo órgão gestor responsável e após a celebração do termo de colaboração e publicação em Diário Oficial, fica autorizado o início da execução do cronograma do objeto;</w:t>
      </w:r>
    </w:p>
    <w:p w14:paraId="0EAB70EB"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II - </w:t>
      </w:r>
      <w:proofErr w:type="gramStart"/>
      <w:r w:rsidRPr="00AC62F6">
        <w:rPr>
          <w:rFonts w:ascii="Verdana" w:hAnsi="Verdana"/>
          <w:sz w:val="22"/>
          <w:szCs w:val="22"/>
        </w:rPr>
        <w:t>o</w:t>
      </w:r>
      <w:proofErr w:type="gramEnd"/>
      <w:r w:rsidRPr="00AC62F6">
        <w:rPr>
          <w:rFonts w:ascii="Verdana" w:hAnsi="Verdana"/>
          <w:sz w:val="22"/>
          <w:szCs w:val="22"/>
        </w:rPr>
        <w:t xml:space="preserve"> relatório final para a Prestação de Contas pela entidade observará o prazo de 30 (trinta) dias contados da data final de sua vigência, podendo ser prorrogado por igual período;</w:t>
      </w:r>
    </w:p>
    <w:p w14:paraId="621798F9" w14:textId="77777777" w:rsidR="00AC62F6" w:rsidRPr="00AC62F6" w:rsidRDefault="00AC62F6" w:rsidP="00AC62F6">
      <w:pPr>
        <w:spacing w:line="276" w:lineRule="auto"/>
        <w:jc w:val="both"/>
        <w:rPr>
          <w:rFonts w:ascii="Verdana" w:hAnsi="Verdana"/>
          <w:sz w:val="22"/>
          <w:szCs w:val="22"/>
        </w:rPr>
      </w:pPr>
      <w:r w:rsidRPr="00AC62F6">
        <w:rPr>
          <w:rFonts w:ascii="Verdana" w:hAnsi="Verdana"/>
          <w:sz w:val="22"/>
          <w:szCs w:val="22"/>
        </w:rPr>
        <w:t xml:space="preserve">           III - o Gestor da Parceria, nomeado através de portaria, dispõe de 30 (trinta) dias contados a partir da data de recebimento dos documentos enviados pela entidade, para emissão de parecer técnico de análise da prestação de contas final e manifestação conclusiva;</w:t>
      </w:r>
    </w:p>
    <w:p w14:paraId="3E546BBD" w14:textId="77777777" w:rsidR="00AC62F6" w:rsidRPr="00AC62F6" w:rsidRDefault="00AC62F6" w:rsidP="00AC62F6">
      <w:pPr>
        <w:spacing w:line="360" w:lineRule="auto"/>
        <w:jc w:val="both"/>
        <w:rPr>
          <w:rFonts w:ascii="Verdana" w:hAnsi="Verdana"/>
          <w:sz w:val="22"/>
          <w:szCs w:val="22"/>
        </w:rPr>
      </w:pPr>
      <w:r w:rsidRPr="00AC62F6">
        <w:rPr>
          <w:rFonts w:ascii="Verdana" w:hAnsi="Verdana"/>
          <w:sz w:val="22"/>
          <w:szCs w:val="22"/>
        </w:rPr>
        <w:t xml:space="preserve">           IV - é de responsabilidade da comissão de monitoramento e avaliação, designada por meio de portaria especifica, emitir relatório técnico de monitoramento e avaliação de parceria, tendo como prazo 30 (trinta) dias contados da data de recebimento dos documentos conclusivos enviados pelo Gestor da parceria.</w:t>
      </w:r>
    </w:p>
    <w:p w14:paraId="2C03F4C5" w14:textId="77777777" w:rsidR="00AC62F6" w:rsidRPr="00AC62F6" w:rsidRDefault="00AC62F6" w:rsidP="00AC62F6">
      <w:pPr>
        <w:spacing w:line="360" w:lineRule="auto"/>
        <w:jc w:val="both"/>
        <w:rPr>
          <w:rFonts w:ascii="Verdana" w:hAnsi="Verdana"/>
          <w:sz w:val="22"/>
          <w:szCs w:val="22"/>
        </w:rPr>
      </w:pPr>
      <w:r w:rsidRPr="00AC62F6">
        <w:rPr>
          <w:rFonts w:ascii="Verdana" w:hAnsi="Verdana"/>
          <w:b/>
          <w:bCs/>
          <w:sz w:val="22"/>
          <w:szCs w:val="22"/>
        </w:rPr>
        <w:lastRenderedPageBreak/>
        <w:t>Art. 56.</w:t>
      </w:r>
      <w:r w:rsidRPr="00AC62F6">
        <w:rPr>
          <w:rFonts w:ascii="Verdana" w:hAnsi="Verdana"/>
          <w:sz w:val="22"/>
          <w:szCs w:val="22"/>
        </w:rPr>
        <w:t xml:space="preserve"> Fica o Poder Executivo obrigado a encaminhar ao Poder Legislativo, comunicado sobre o cumprimento de cada emenda impositiva, em até 30 (trinta) dias de seu efetivo pagamento.</w:t>
      </w:r>
    </w:p>
    <w:p w14:paraId="2ED200A2" w14:textId="77777777" w:rsidR="00AC62F6" w:rsidRPr="00AC62F6" w:rsidRDefault="00AC62F6" w:rsidP="00AC62F6">
      <w:pPr>
        <w:spacing w:line="360" w:lineRule="auto"/>
        <w:jc w:val="both"/>
        <w:rPr>
          <w:rFonts w:ascii="Verdana" w:hAnsi="Verdana"/>
          <w:sz w:val="22"/>
          <w:szCs w:val="22"/>
        </w:rPr>
      </w:pPr>
    </w:p>
    <w:p w14:paraId="496F233D" w14:textId="0002A0EF" w:rsidR="00AC62F6" w:rsidRPr="00AC62F6" w:rsidRDefault="00AC62F6" w:rsidP="00AC62F6">
      <w:pPr>
        <w:spacing w:line="360" w:lineRule="auto"/>
        <w:jc w:val="both"/>
        <w:rPr>
          <w:rFonts w:ascii="Verdana" w:hAnsi="Verdana"/>
          <w:sz w:val="22"/>
          <w:szCs w:val="22"/>
        </w:rPr>
      </w:pPr>
      <w:r w:rsidRPr="00AC62F6">
        <w:rPr>
          <w:rFonts w:ascii="Verdana" w:hAnsi="Verdana"/>
          <w:b/>
          <w:bCs/>
          <w:sz w:val="22"/>
          <w:szCs w:val="22"/>
        </w:rPr>
        <w:t>Art. 57</w:t>
      </w:r>
      <w:r>
        <w:rPr>
          <w:rFonts w:ascii="Verdana" w:hAnsi="Verdana"/>
          <w:b/>
          <w:bCs/>
          <w:sz w:val="22"/>
          <w:szCs w:val="22"/>
        </w:rPr>
        <w:t>.</w:t>
      </w:r>
      <w:r w:rsidRPr="00AC62F6">
        <w:rPr>
          <w:rFonts w:ascii="Verdana" w:hAnsi="Verdana"/>
          <w:sz w:val="22"/>
          <w:szCs w:val="22"/>
        </w:rPr>
        <w:t xml:space="preserve"> Em até 60 (sessenta) dias do encerramento do exercício, o Poder Executivo deverá enviar relação de todas as emendas impositivas pagas, bem como aquelas que não foram cumpridas, com as devidas justificativas de ordem técnica.</w:t>
      </w:r>
    </w:p>
    <w:p w14:paraId="47A7B393" w14:textId="77777777" w:rsidR="00AC62F6" w:rsidRPr="00AC62F6" w:rsidRDefault="00AC62F6" w:rsidP="00AC62F6">
      <w:pPr>
        <w:spacing w:line="360" w:lineRule="auto"/>
        <w:jc w:val="both"/>
        <w:rPr>
          <w:rFonts w:ascii="Verdana" w:hAnsi="Verdana"/>
          <w:sz w:val="22"/>
          <w:szCs w:val="22"/>
        </w:rPr>
      </w:pPr>
    </w:p>
    <w:p w14:paraId="07A0F522" w14:textId="77777777" w:rsidR="00AC62F6" w:rsidRPr="00AC62F6" w:rsidRDefault="00AC62F6" w:rsidP="00AC62F6">
      <w:pPr>
        <w:spacing w:line="276" w:lineRule="auto"/>
        <w:jc w:val="both"/>
        <w:rPr>
          <w:rFonts w:ascii="Verdana" w:hAnsi="Verdana"/>
          <w:sz w:val="22"/>
          <w:szCs w:val="22"/>
        </w:rPr>
      </w:pPr>
      <w:r w:rsidRPr="00AC62F6">
        <w:rPr>
          <w:rFonts w:ascii="Verdana" w:hAnsi="Verdana"/>
          <w:b/>
          <w:bCs/>
          <w:sz w:val="22"/>
          <w:szCs w:val="22"/>
        </w:rPr>
        <w:t>Art. 58</w:t>
      </w:r>
      <w:r w:rsidRPr="00AC62F6">
        <w:rPr>
          <w:rFonts w:ascii="Verdana" w:hAnsi="Verdana"/>
          <w:sz w:val="22"/>
          <w:szCs w:val="22"/>
        </w:rPr>
        <w:t>. O Poder Executivo manterá na internet, em local de fácil acesso, relação atualizada das programações incluídas por emendas individuais impositivas na Lei do Orçamento Anual, detalhando o estágio da execução e indicando os impedimentos, caso existentes, contendo os dados previstos no Anexo.</w:t>
      </w:r>
    </w:p>
    <w:p w14:paraId="44E8CDF4" w14:textId="77777777" w:rsidR="00AC62F6" w:rsidRPr="00AC62F6" w:rsidRDefault="00AC62F6" w:rsidP="00AC62F6">
      <w:pPr>
        <w:spacing w:line="276" w:lineRule="auto"/>
        <w:jc w:val="both"/>
        <w:rPr>
          <w:rFonts w:ascii="Verdana" w:hAnsi="Verdana"/>
          <w:sz w:val="22"/>
          <w:szCs w:val="22"/>
        </w:rPr>
      </w:pPr>
    </w:p>
    <w:p w14:paraId="3231D0C0" w14:textId="77777777" w:rsidR="00AC62F6" w:rsidRPr="00AC62F6" w:rsidRDefault="00AC62F6" w:rsidP="00AC62F6">
      <w:pPr>
        <w:spacing w:line="276" w:lineRule="auto"/>
        <w:jc w:val="both"/>
        <w:rPr>
          <w:rFonts w:ascii="Verdana" w:hAnsi="Verdana"/>
          <w:sz w:val="22"/>
          <w:szCs w:val="22"/>
        </w:rPr>
      </w:pPr>
      <w:proofErr w:type="gramStart"/>
      <w:r w:rsidRPr="00AC62F6">
        <w:rPr>
          <w:rFonts w:ascii="Verdana" w:hAnsi="Verdana"/>
          <w:sz w:val="22"/>
          <w:szCs w:val="22"/>
        </w:rPr>
        <w:t>Mando</w:t>
      </w:r>
      <w:proofErr w:type="gramEnd"/>
      <w:r w:rsidRPr="00AC62F6">
        <w:rPr>
          <w:rFonts w:ascii="Verdana" w:hAnsi="Verdana"/>
          <w:sz w:val="22"/>
          <w:szCs w:val="22"/>
        </w:rPr>
        <w:t xml:space="preserve"> portanto, a todas as autoridades a quem o conhecimento e execução desta Lei pertencer, que a cumpram e a façam cumprir, tão inteiramente como nela se contém. </w:t>
      </w:r>
    </w:p>
    <w:p w14:paraId="3C2217B0" w14:textId="77777777" w:rsidR="00AC62F6" w:rsidRPr="00AC62F6" w:rsidRDefault="00AC62F6" w:rsidP="00AC62F6">
      <w:pPr>
        <w:spacing w:line="276" w:lineRule="auto"/>
        <w:jc w:val="both"/>
        <w:rPr>
          <w:rFonts w:ascii="Verdana" w:hAnsi="Verdana"/>
          <w:sz w:val="22"/>
          <w:szCs w:val="22"/>
        </w:rPr>
      </w:pPr>
    </w:p>
    <w:p w14:paraId="02F38EC9" w14:textId="77777777" w:rsidR="00AC62F6" w:rsidRPr="00AC62F6" w:rsidRDefault="00AC62F6" w:rsidP="00AC62F6">
      <w:pPr>
        <w:jc w:val="both"/>
        <w:rPr>
          <w:rFonts w:ascii="Verdana" w:hAnsi="Verdana" w:cs="Arial"/>
          <w:sz w:val="22"/>
          <w:szCs w:val="22"/>
        </w:rPr>
      </w:pPr>
      <w:r w:rsidRPr="00AC62F6">
        <w:rPr>
          <w:rFonts w:ascii="Verdana" w:hAnsi="Verdana" w:cs="Arial"/>
          <w:b/>
          <w:bCs/>
          <w:sz w:val="22"/>
          <w:szCs w:val="22"/>
        </w:rPr>
        <w:t>Art. 59</w:t>
      </w:r>
      <w:r w:rsidRPr="00AC62F6">
        <w:rPr>
          <w:rFonts w:ascii="Verdana" w:hAnsi="Verdana" w:cs="Arial"/>
          <w:sz w:val="22"/>
          <w:szCs w:val="22"/>
        </w:rPr>
        <w:t>.  Esta Lei entra em vigor na data de sua publicação, revogando-se as disposições em contrário.</w:t>
      </w:r>
    </w:p>
    <w:p w14:paraId="54B9724F" w14:textId="77777777" w:rsidR="00AC62F6" w:rsidRPr="00AC62F6" w:rsidRDefault="00AC62F6" w:rsidP="00AC62F6">
      <w:pPr>
        <w:jc w:val="both"/>
        <w:rPr>
          <w:rFonts w:ascii="Verdana" w:hAnsi="Verdana" w:cs="Arial"/>
          <w:sz w:val="22"/>
          <w:szCs w:val="22"/>
        </w:rPr>
      </w:pPr>
    </w:p>
    <w:p w14:paraId="696330DE" w14:textId="77777777" w:rsidR="00AC62F6" w:rsidRPr="00AC62F6" w:rsidRDefault="00AC62F6" w:rsidP="00AC62F6">
      <w:pPr>
        <w:jc w:val="both"/>
        <w:rPr>
          <w:rFonts w:ascii="Verdana" w:hAnsi="Verdana" w:cs="Arial"/>
          <w:b/>
          <w:sz w:val="22"/>
          <w:szCs w:val="22"/>
        </w:rPr>
      </w:pPr>
    </w:p>
    <w:p w14:paraId="1F9C00F1" w14:textId="7457F520" w:rsidR="00AC62F6" w:rsidRPr="00AC62F6" w:rsidRDefault="00AC62F6" w:rsidP="00AC62F6">
      <w:pPr>
        <w:spacing w:line="276" w:lineRule="auto"/>
        <w:rPr>
          <w:rFonts w:ascii="Verdana" w:hAnsi="Verdana"/>
          <w:b/>
          <w:bCs/>
          <w:sz w:val="22"/>
          <w:szCs w:val="22"/>
        </w:rPr>
      </w:pPr>
      <w:r>
        <w:rPr>
          <w:rFonts w:ascii="Verdana" w:hAnsi="Verdana"/>
          <w:b/>
          <w:bCs/>
          <w:sz w:val="22"/>
          <w:szCs w:val="22"/>
        </w:rPr>
        <w:tab/>
      </w:r>
      <w:r>
        <w:rPr>
          <w:rFonts w:ascii="Verdana" w:hAnsi="Verdana"/>
          <w:b/>
          <w:bCs/>
          <w:sz w:val="22"/>
          <w:szCs w:val="22"/>
        </w:rPr>
        <w:tab/>
        <w:t>Córrego Fundo/MG, 10 de julho de 2023.</w:t>
      </w:r>
    </w:p>
    <w:p w14:paraId="3EDCE927" w14:textId="77777777" w:rsidR="00AC62F6" w:rsidRPr="00AC62F6" w:rsidRDefault="00AC62F6" w:rsidP="00AC62F6">
      <w:pPr>
        <w:spacing w:line="276" w:lineRule="auto"/>
        <w:rPr>
          <w:rFonts w:ascii="Verdana" w:hAnsi="Verdana"/>
          <w:b/>
          <w:bCs/>
          <w:sz w:val="22"/>
          <w:szCs w:val="22"/>
        </w:rPr>
      </w:pPr>
    </w:p>
    <w:p w14:paraId="3BE96193" w14:textId="77777777" w:rsidR="00AC62F6" w:rsidRPr="00AC62F6" w:rsidRDefault="00AC62F6" w:rsidP="00AC62F6">
      <w:pPr>
        <w:spacing w:line="276" w:lineRule="auto"/>
        <w:rPr>
          <w:rFonts w:ascii="Verdana" w:hAnsi="Verdana"/>
          <w:b/>
          <w:bCs/>
          <w:sz w:val="22"/>
          <w:szCs w:val="22"/>
        </w:rPr>
      </w:pPr>
    </w:p>
    <w:p w14:paraId="0351072B" w14:textId="77777777" w:rsidR="00AC62F6" w:rsidRPr="00AC62F6" w:rsidRDefault="00AC62F6" w:rsidP="00AC62F6">
      <w:pPr>
        <w:jc w:val="both"/>
        <w:rPr>
          <w:rFonts w:ascii="Verdana" w:hAnsi="Verdana" w:cs="Arial"/>
          <w:b/>
          <w:sz w:val="22"/>
          <w:szCs w:val="22"/>
        </w:rPr>
      </w:pPr>
    </w:p>
    <w:p w14:paraId="568CAA07" w14:textId="4B6891E6" w:rsidR="00AC62F6" w:rsidRPr="00AC62F6" w:rsidRDefault="00AC62F6" w:rsidP="00AC62F6">
      <w:pPr>
        <w:jc w:val="center"/>
        <w:rPr>
          <w:rFonts w:ascii="Verdana" w:hAnsi="Verdana" w:cs="Arial"/>
          <w:b/>
          <w:sz w:val="22"/>
          <w:szCs w:val="22"/>
        </w:rPr>
      </w:pPr>
      <w:r>
        <w:rPr>
          <w:rFonts w:ascii="Verdana" w:hAnsi="Verdana" w:cs="Arial"/>
          <w:b/>
          <w:sz w:val="22"/>
          <w:szCs w:val="22"/>
        </w:rPr>
        <w:t>DANILO OLIVEIRA CAMPOS</w:t>
      </w:r>
    </w:p>
    <w:p w14:paraId="6D63AB3B" w14:textId="0A78AEEC" w:rsidR="00AC62F6" w:rsidRPr="00AC62F6" w:rsidRDefault="00AC62F6" w:rsidP="00AC62F6">
      <w:pPr>
        <w:jc w:val="center"/>
        <w:rPr>
          <w:rFonts w:ascii="Verdana" w:hAnsi="Verdana"/>
          <w:sz w:val="22"/>
          <w:szCs w:val="22"/>
        </w:rPr>
      </w:pPr>
      <w:r w:rsidRPr="00AC62F6">
        <w:rPr>
          <w:rFonts w:ascii="Verdana" w:hAnsi="Verdana" w:cs="Arial"/>
          <w:sz w:val="22"/>
          <w:szCs w:val="22"/>
        </w:rPr>
        <w:t xml:space="preserve"> Pre</w:t>
      </w:r>
      <w:bookmarkEnd w:id="0"/>
      <w:r>
        <w:rPr>
          <w:rFonts w:ascii="Verdana" w:hAnsi="Verdana" w:cs="Arial"/>
          <w:sz w:val="22"/>
          <w:szCs w:val="22"/>
        </w:rPr>
        <w:t>feito</w:t>
      </w:r>
    </w:p>
    <w:p w14:paraId="6572C969" w14:textId="77777777" w:rsidR="00013EB3" w:rsidRPr="00AC62F6" w:rsidRDefault="00013EB3" w:rsidP="00AC62F6">
      <w:pPr>
        <w:rPr>
          <w:rFonts w:ascii="Verdana" w:hAnsi="Verdana"/>
          <w:sz w:val="22"/>
          <w:szCs w:val="22"/>
        </w:rPr>
      </w:pPr>
    </w:p>
    <w:sectPr w:rsidR="00013EB3" w:rsidRPr="00AC62F6" w:rsidSect="00B61044">
      <w:headerReference w:type="default" r:id="rId4"/>
      <w:footerReference w:type="default" r:id="rId5"/>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CF1E" w14:textId="77777777" w:rsidR="00F500A5" w:rsidRDefault="00000000">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17FB6FCB" w14:textId="77777777" w:rsidR="00B61044"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E28" w14:textId="77777777" w:rsidR="00B61044" w:rsidRPr="0004523D" w:rsidRDefault="00000000" w:rsidP="00B61044">
    <w:pPr>
      <w:pStyle w:val="Cabealho"/>
      <w:jc w:val="both"/>
      <w:rPr>
        <w:b/>
        <w:color w:val="003300"/>
        <w:sz w:val="28"/>
        <w:szCs w:val="28"/>
      </w:rPr>
    </w:pPr>
    <w:sdt>
      <w:sdtPr>
        <w:rPr>
          <w:b/>
          <w:color w:val="003300"/>
          <w:sz w:val="28"/>
          <w:szCs w:val="28"/>
        </w:rPr>
        <w:id w:val="-235633878"/>
        <w:docPartObj>
          <w:docPartGallery w:val="Page Numbers (Margins)"/>
          <w:docPartUnique/>
        </w:docPartObj>
      </w:sdtPr>
      <w:sdtContent>
        <w:r w:rsidRPr="00663BF1">
          <w:rPr>
            <w:b/>
            <w:noProof/>
            <w:color w:val="003300"/>
            <w:sz w:val="28"/>
            <w:szCs w:val="28"/>
          </w:rPr>
          <mc:AlternateContent>
            <mc:Choice Requires="wpg">
              <w:drawing>
                <wp:anchor distT="0" distB="0" distL="114300" distR="114300" simplePos="0" relativeHeight="251660288" behindDoc="0" locked="0" layoutInCell="0" allowOverlap="1" wp14:anchorId="26EA840E" wp14:editId="0DD8C2AA">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E4EBA" w14:textId="77777777" w:rsidR="00663BF1"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EA840E" id="Agrupar 2"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HTXr7VCAwAAvAoAAA4AAAAAAAAAAAAAAAAALgIAAGRycy9lMm9Eb2Mu&#10;eG1sUEsBAi0AFAAGAAgAAAAhAKolCqLdAAAAAwEAAA8AAAAAAAAAAAAAAAAAnA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69EE4EBA" w14:textId="77777777" w:rsidR="00663BF1"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14:paraId="1656062A" w14:textId="77777777" w:rsidR="00B61044" w:rsidRPr="0004523D" w:rsidRDefault="00000000" w:rsidP="00B61044">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7D3746BB" w14:textId="77777777" w:rsidR="00B61044" w:rsidRPr="0004523D" w:rsidRDefault="00000000" w:rsidP="00B61044">
    <w:pPr>
      <w:pStyle w:val="Cabealho"/>
      <w:jc w:val="center"/>
      <w:rPr>
        <w:color w:val="003300"/>
        <w:sz w:val="18"/>
        <w:szCs w:val="18"/>
      </w:rPr>
    </w:pPr>
    <w:r w:rsidRPr="0004523D">
      <w:rPr>
        <w:b/>
        <w:bCs/>
        <w:color w:val="003300"/>
        <w:sz w:val="18"/>
        <w:szCs w:val="18"/>
      </w:rPr>
      <w:t>CEP: 35.578-000 = CÓRREGO FUNDO -MG</w:t>
    </w:r>
  </w:p>
  <w:p w14:paraId="4CA16D18" w14:textId="77777777" w:rsidR="00B61044" w:rsidRDefault="00000000" w:rsidP="00B61044">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67E3009E" w14:textId="77777777" w:rsidR="00B61044" w:rsidRDefault="00000000">
    <w:pPr>
      <w:pStyle w:val="Cabealho"/>
    </w:pPr>
    <w:r>
      <w:rPr>
        <w:noProof/>
      </w:rPr>
      <w:drawing>
        <wp:anchor distT="0" distB="0" distL="114300" distR="114300" simplePos="0" relativeHeight="251659264" behindDoc="1" locked="0" layoutInCell="1" allowOverlap="1" wp14:anchorId="4FB0A25D" wp14:editId="4651A2E0">
          <wp:simplePos x="0" y="0"/>
          <wp:positionH relativeFrom="margin">
            <wp:posOffset>-579755</wp:posOffset>
          </wp:positionH>
          <wp:positionV relativeFrom="margin">
            <wp:posOffset>1506220</wp:posOffset>
          </wp:positionV>
          <wp:extent cx="6620510" cy="5606415"/>
          <wp:effectExtent l="0" t="0" r="8890" b="0"/>
          <wp:wrapNone/>
          <wp:docPr id="1" name="Imagem 1"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6"/>
    <w:rsid w:val="00013EB3"/>
    <w:rsid w:val="00985B8F"/>
    <w:rsid w:val="00AC6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8527"/>
  <w15:chartTrackingRefBased/>
  <w15:docId w15:val="{A7384893-A61F-46A2-AC6C-2DE858E1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F6"/>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62F6"/>
    <w:pPr>
      <w:tabs>
        <w:tab w:val="center" w:pos="4252"/>
        <w:tab w:val="right" w:pos="8504"/>
      </w:tabs>
    </w:pPr>
  </w:style>
  <w:style w:type="character" w:customStyle="1" w:styleId="CabealhoChar">
    <w:name w:val="Cabeçalho Char"/>
    <w:basedOn w:val="Fontepargpadro"/>
    <w:link w:val="Cabealho"/>
    <w:uiPriority w:val="99"/>
    <w:rsid w:val="00AC62F6"/>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AC62F6"/>
    <w:pPr>
      <w:tabs>
        <w:tab w:val="center" w:pos="4252"/>
        <w:tab w:val="right" w:pos="8504"/>
      </w:tabs>
    </w:pPr>
  </w:style>
  <w:style w:type="character" w:customStyle="1" w:styleId="RodapChar">
    <w:name w:val="Rodapé Char"/>
    <w:basedOn w:val="Fontepargpadro"/>
    <w:link w:val="Rodap"/>
    <w:uiPriority w:val="99"/>
    <w:rsid w:val="00AC62F6"/>
    <w:rPr>
      <w:rFonts w:ascii="Times New Roman" w:eastAsia="Times New Roman" w:hAnsi="Times New Roman" w:cs="Times New Roman"/>
      <w:kern w:val="0"/>
      <w:sz w:val="20"/>
      <w:szCs w:val="20"/>
      <w:lang w:eastAsia="pt-BR"/>
      <w14:ligatures w14:val="none"/>
    </w:rPr>
  </w:style>
  <w:style w:type="paragraph" w:styleId="NormalWeb">
    <w:name w:val="Normal (Web)"/>
    <w:basedOn w:val="Normal"/>
    <w:unhideWhenUsed/>
    <w:rsid w:val="00AC62F6"/>
    <w:pPr>
      <w:spacing w:before="100" w:beforeAutospacing="1" w:after="100" w:afterAutospacing="1"/>
    </w:pPr>
    <w:rPr>
      <w:sz w:val="24"/>
      <w:szCs w:val="24"/>
    </w:rPr>
  </w:style>
  <w:style w:type="character" w:styleId="Nmerodepgina">
    <w:name w:val="page number"/>
    <w:basedOn w:val="Fontepargpadro"/>
    <w:uiPriority w:val="99"/>
    <w:unhideWhenUsed/>
    <w:rsid w:val="00AC62F6"/>
  </w:style>
  <w:style w:type="paragraph" w:customStyle="1" w:styleId="Blockquote">
    <w:name w:val="Blockquote"/>
    <w:basedOn w:val="Normal"/>
    <w:rsid w:val="00AC62F6"/>
    <w:pPr>
      <w:snapToGrid w:val="0"/>
      <w:spacing w:before="100" w:after="100"/>
      <w:ind w:left="360" w:right="360"/>
    </w:pPr>
    <w:rPr>
      <w:sz w:val="24"/>
    </w:rPr>
  </w:style>
  <w:style w:type="character" w:styleId="Forte">
    <w:name w:val="Strong"/>
    <w:qFormat/>
    <w:rsid w:val="00AC62F6"/>
    <w:rPr>
      <w:b/>
      <w:bCs w:val="0"/>
    </w:rPr>
  </w:style>
  <w:style w:type="paragraph" w:customStyle="1" w:styleId="Preformatted">
    <w:name w:val="Preformatted"/>
    <w:basedOn w:val="Normal"/>
    <w:rsid w:val="00AC6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5877</Words>
  <Characters>31736</Characters>
  <Application>Microsoft Office Word</Application>
  <DocSecurity>0</DocSecurity>
  <Lines>264</Lines>
  <Paragraphs>75</Paragraphs>
  <ScaleCrop>false</ScaleCrop>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2023-07-10T18:26:00Z</dcterms:created>
  <dcterms:modified xsi:type="dcterms:W3CDTF">2023-07-10T18:31:00Z</dcterms:modified>
</cp:coreProperties>
</file>